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4846" w:rsidR="00A94A51" w:rsidRDefault="00A94A51" w14:paraId="29D6B04F" w14:textId="77777777">
      <w:pPr>
        <w:jc w:val="center"/>
        <w:outlineLvl w:val="0"/>
        <w:rPr>
          <w:b/>
          <w:lang w:val="en-GB"/>
        </w:rPr>
      </w:pPr>
      <w:r w:rsidRPr="00504846">
        <w:rPr>
          <w:b/>
          <w:lang w:val="en-GB"/>
        </w:rPr>
        <w:t xml:space="preserve"> </w:t>
      </w:r>
    </w:p>
    <w:p w:rsidRPr="00504846" w:rsidR="00A94A51" w:rsidRDefault="00A94A51" w14:paraId="672A6659" w14:textId="77777777">
      <w:pPr>
        <w:jc w:val="center"/>
        <w:outlineLvl w:val="0"/>
        <w:rPr>
          <w:b/>
          <w:lang w:val="en-GB"/>
        </w:rPr>
      </w:pPr>
    </w:p>
    <w:p w:rsidRPr="00504846" w:rsidR="00A94A51" w:rsidRDefault="004F36E4" w14:paraId="1D36D90E" w14:textId="54A1138B">
      <w:pPr>
        <w:jc w:val="center"/>
        <w:rPr>
          <w:b/>
          <w:color w:val="FF0000"/>
          <w:szCs w:val="20"/>
          <w:lang w:val="en-GB" w:eastAsia="ja-JP"/>
        </w:rPr>
      </w:pPr>
      <w:r w:rsidRPr="00504846">
        <w:rPr>
          <w:b/>
          <w:sz w:val="28"/>
          <w:szCs w:val="32"/>
          <w:lang w:val="en-GB" w:eastAsia="ja-JP"/>
        </w:rPr>
        <w:t>OCCUPATIONAL HYGIENE MONITORING USING PROJECT BASED LEARNING (PBL) APPROACH</w:t>
      </w:r>
    </w:p>
    <w:p w:rsidRPr="00504846" w:rsidR="00A94A51" w:rsidRDefault="00A94A51" w14:paraId="0A37501D" w14:textId="77777777">
      <w:pPr>
        <w:jc w:val="center"/>
        <w:rPr>
          <w:b/>
          <w:lang w:val="en-GB" w:eastAsia="ja-JP"/>
        </w:rPr>
      </w:pPr>
    </w:p>
    <w:p w:rsidRPr="00504846" w:rsidR="00A94A51" w:rsidP="0FDD602E" w:rsidRDefault="006B4DA2" w14:paraId="648FCDF7" w14:textId="0EDA145B">
      <w:pPr>
        <w:pStyle w:val="a4"/>
        <w:jc w:val="center"/>
        <w:outlineLvl w:val="0"/>
        <w:rPr>
          <w:rFonts w:ascii="Times New Roman" w:hAnsi="Times New Roman"/>
          <w:sz w:val="24"/>
          <w:szCs w:val="24"/>
          <w:lang w:val="en-GB"/>
        </w:rPr>
      </w:pPr>
      <w:r w:rsidRPr="0FDD602E" w:rsidR="006B4DA2">
        <w:rPr>
          <w:rFonts w:ascii="Times New Roman" w:hAnsi="Times New Roman"/>
          <w:sz w:val="24"/>
          <w:szCs w:val="24"/>
          <w:lang w:val="en-GB"/>
        </w:rPr>
        <w:t>Y</w:t>
      </w:r>
      <w:r w:rsidRPr="0FDD602E" w:rsidR="00A94A51">
        <w:rPr>
          <w:rFonts w:ascii="Times New Roman" w:hAnsi="Times New Roman"/>
          <w:sz w:val="24"/>
          <w:szCs w:val="24"/>
          <w:lang w:val="en-GB"/>
        </w:rPr>
        <w:t>.</w:t>
      </w:r>
      <w:r w:rsidRPr="0FDD602E" w:rsidR="006B4DA2">
        <w:rPr>
          <w:rFonts w:ascii="Times New Roman" w:hAnsi="Times New Roman"/>
          <w:sz w:val="24"/>
          <w:szCs w:val="24"/>
          <w:lang w:val="en-GB"/>
        </w:rPr>
        <w:t>H</w:t>
      </w:r>
      <w:r w:rsidRPr="0FDD602E" w:rsidR="00A94A51">
        <w:rPr>
          <w:rFonts w:ascii="Times New Roman" w:hAnsi="Times New Roman"/>
          <w:sz w:val="24"/>
          <w:szCs w:val="24"/>
          <w:lang w:val="en-GB"/>
        </w:rPr>
        <w:t xml:space="preserve">. </w:t>
      </w:r>
      <w:r w:rsidRPr="0FDD602E" w:rsidR="006B4DA2">
        <w:rPr>
          <w:rFonts w:ascii="Times New Roman" w:hAnsi="Times New Roman"/>
          <w:sz w:val="24"/>
          <w:szCs w:val="24"/>
          <w:lang w:val="en-GB"/>
        </w:rPr>
        <w:t>Chan</w:t>
      </w:r>
      <w:r w:rsidRPr="0FDD602E" w:rsidR="1DB5FF1D">
        <w:rPr>
          <w:rFonts w:ascii="Times New Roman" w:hAnsi="Times New Roman"/>
          <w:sz w:val="24"/>
          <w:szCs w:val="24"/>
          <w:lang w:val="en-GB"/>
        </w:rPr>
        <w:t>, H.W. Yue</w:t>
      </w:r>
      <w:r w:rsidRPr="0FDD602E" w:rsidR="00A94A51">
        <w:rPr>
          <w:rFonts w:ascii="Times New Roman" w:hAnsi="Times New Roman"/>
          <w:sz w:val="24"/>
          <w:szCs w:val="24"/>
          <w:vertAlign w:val="superscript"/>
          <w:lang w:val="en-GB"/>
        </w:rPr>
        <w:t>*</w:t>
      </w:r>
      <w:r w:rsidRPr="0FDD602E" w:rsidR="006061C1">
        <w:rPr>
          <w:rFonts w:ascii="Times New Roman" w:hAnsi="Times New Roman"/>
          <w:sz w:val="24"/>
          <w:szCs w:val="24"/>
          <w:vertAlign w:val="superscript"/>
          <w:lang w:val="en-GB"/>
        </w:rPr>
        <w:t>,a</w:t>
      </w:r>
    </w:p>
    <w:p w:rsidRPr="00504846" w:rsidR="00A94A51" w:rsidRDefault="00A94A51" w14:paraId="5DAB6C7B" w14:textId="77777777">
      <w:pPr>
        <w:pStyle w:val="a4"/>
        <w:jc w:val="center"/>
        <w:rPr>
          <w:rFonts w:ascii="Times New Roman" w:hAnsi="Times New Roman"/>
          <w:sz w:val="24"/>
          <w:lang w:val="en-GB"/>
        </w:rPr>
      </w:pPr>
    </w:p>
    <w:p w:rsidRPr="00504846" w:rsidR="00A94A51" w:rsidRDefault="005174E7" w14:paraId="016B5803" w14:textId="52D779F7">
      <w:pPr>
        <w:pStyle w:val="a4"/>
        <w:jc w:val="center"/>
        <w:rPr>
          <w:rFonts w:ascii="Times New Roman" w:hAnsi="Times New Roman"/>
          <w:sz w:val="24"/>
          <w:lang w:val="en-GB"/>
        </w:rPr>
      </w:pPr>
      <w:proofErr w:type="spellStart"/>
      <w:r w:rsidRPr="00504846">
        <w:rPr>
          <w:rFonts w:ascii="Times New Roman" w:hAnsi="Times New Roman"/>
          <w:sz w:val="24"/>
          <w:vertAlign w:val="superscript"/>
          <w:lang w:val="en-GB"/>
        </w:rPr>
        <w:t>a</w:t>
      </w:r>
      <w:proofErr w:type="spellEnd"/>
      <w:r w:rsidRPr="00504846">
        <w:rPr>
          <w:rFonts w:ascii="Times New Roman" w:hAnsi="Times New Roman"/>
          <w:sz w:val="24"/>
          <w:lang w:val="en-GB"/>
        </w:rPr>
        <w:t xml:space="preserve"> </w:t>
      </w:r>
      <w:r w:rsidR="001E3F12">
        <w:rPr>
          <w:rFonts w:ascii="Times New Roman" w:hAnsi="Times New Roman"/>
          <w:sz w:val="24"/>
          <w:lang w:val="en-GB"/>
        </w:rPr>
        <w:t>The Hong Kong Institute of Vocational Education</w:t>
      </w:r>
      <w:r w:rsidR="00EF0885">
        <w:rPr>
          <w:rFonts w:ascii="Times New Roman" w:hAnsi="Times New Roman"/>
          <w:sz w:val="24"/>
          <w:lang w:val="en-GB"/>
        </w:rPr>
        <w:t xml:space="preserve"> – Department of Health and Life Sciences</w:t>
      </w:r>
      <w:r w:rsidRPr="00504846" w:rsidR="00A94A51">
        <w:rPr>
          <w:rFonts w:ascii="Times New Roman" w:hAnsi="Times New Roman"/>
          <w:sz w:val="24"/>
          <w:lang w:val="en-GB"/>
        </w:rPr>
        <w:t xml:space="preserve">, </w:t>
      </w:r>
      <w:r w:rsidR="00AF3628">
        <w:rPr>
          <w:rFonts w:ascii="Times New Roman" w:hAnsi="Times New Roman"/>
          <w:sz w:val="24"/>
          <w:lang w:val="en-GB"/>
        </w:rPr>
        <w:t>Lecturer</w:t>
      </w:r>
      <w:r w:rsidRPr="00504846" w:rsidR="00A94A51">
        <w:rPr>
          <w:rFonts w:ascii="Times New Roman" w:hAnsi="Times New Roman"/>
          <w:sz w:val="24"/>
          <w:lang w:val="en-GB"/>
        </w:rPr>
        <w:t xml:space="preserve">, </w:t>
      </w:r>
      <w:r w:rsidR="00EF0885">
        <w:rPr>
          <w:rFonts w:ascii="Times New Roman" w:hAnsi="Times New Roman"/>
          <w:sz w:val="24"/>
          <w:lang w:val="en-GB"/>
        </w:rPr>
        <w:t>Hong Kong</w:t>
      </w:r>
      <w:r w:rsidRPr="00504846" w:rsidR="00A94A51">
        <w:rPr>
          <w:rFonts w:ascii="Times New Roman" w:hAnsi="Times New Roman"/>
          <w:sz w:val="24"/>
          <w:lang w:val="en-GB"/>
        </w:rPr>
        <w:t xml:space="preserve">, </w:t>
      </w:r>
      <w:r w:rsidR="00EF0885">
        <w:rPr>
          <w:rFonts w:ascii="Times New Roman" w:hAnsi="Times New Roman"/>
          <w:sz w:val="24"/>
          <w:lang w:val="en-GB"/>
        </w:rPr>
        <w:t>China</w:t>
      </w:r>
    </w:p>
    <w:p w:rsidRPr="00504846" w:rsidR="00A94A51" w:rsidRDefault="00A94A51" w14:paraId="02EB378F" w14:textId="77777777">
      <w:pPr>
        <w:pStyle w:val="a4"/>
        <w:jc w:val="center"/>
        <w:rPr>
          <w:rFonts w:ascii="Times New Roman" w:hAnsi="Times New Roman"/>
          <w:sz w:val="24"/>
          <w:lang w:val="en-GB"/>
        </w:rPr>
      </w:pPr>
    </w:p>
    <w:p w:rsidRPr="00504846" w:rsidR="00A94A51" w:rsidP="0FDD602E" w:rsidRDefault="006061C1" w14:paraId="1C746091" w14:textId="75AC3616">
      <w:pPr>
        <w:pStyle w:val="a4"/>
        <w:jc w:val="center"/>
        <w:outlineLvl w:val="0"/>
        <w:rPr>
          <w:rFonts w:ascii="Times New Roman" w:hAnsi="Times New Roman"/>
          <w:sz w:val="24"/>
          <w:szCs w:val="24"/>
          <w:lang w:val="en-GB"/>
        </w:rPr>
      </w:pPr>
      <w:r w:rsidRPr="0FDD602E" w:rsidR="006061C1">
        <w:rPr>
          <w:rFonts w:ascii="Times New Roman" w:hAnsi="Times New Roman"/>
          <w:sz w:val="24"/>
          <w:szCs w:val="24"/>
          <w:lang w:val="en-GB"/>
        </w:rPr>
        <w:t>*</w:t>
      </w:r>
      <w:r w:rsidRPr="0FDD602E" w:rsidR="008048A9">
        <w:rPr>
          <w:rFonts w:ascii="Times New Roman" w:hAnsi="Times New Roman"/>
          <w:sz w:val="24"/>
          <w:szCs w:val="24"/>
          <w:lang w:val="en-GB"/>
        </w:rPr>
        <w:t>yhchan@vtc.edu.hk</w:t>
      </w:r>
      <w:r w:rsidRPr="0FDD602E" w:rsidR="0CDA0DEF">
        <w:rPr>
          <w:rFonts w:ascii="Times New Roman" w:hAnsi="Times New Roman"/>
          <w:sz w:val="24"/>
          <w:szCs w:val="24"/>
          <w:lang w:val="en-GB"/>
        </w:rPr>
        <w:t>, yue_hw@vtc.edu.hk</w:t>
      </w:r>
    </w:p>
    <w:p w:rsidRPr="00504846" w:rsidR="00A94A51" w:rsidRDefault="00A94A51" w14:paraId="6A05A809" w14:textId="77777777">
      <w:pPr>
        <w:pStyle w:val="a4"/>
        <w:jc w:val="both"/>
        <w:rPr>
          <w:rFonts w:ascii="Times New Roman" w:hAnsi="Times New Roman"/>
          <w:lang w:val="en-GB"/>
        </w:rPr>
      </w:pPr>
    </w:p>
    <w:p w:rsidRPr="00504846" w:rsidR="00A94A51" w:rsidRDefault="00A94A51" w14:paraId="5A39BBE3" w14:textId="77777777">
      <w:pPr>
        <w:pStyle w:val="a4"/>
        <w:jc w:val="both"/>
        <w:rPr>
          <w:rFonts w:ascii="Times New Roman" w:hAnsi="Times New Roman"/>
          <w:lang w:val="en-GB"/>
        </w:rPr>
      </w:pPr>
    </w:p>
    <w:p w:rsidRPr="00504846" w:rsidR="00A94A51" w:rsidRDefault="00A94A51" w14:paraId="41C8F396" w14:textId="77777777">
      <w:pPr>
        <w:pStyle w:val="a4"/>
        <w:jc w:val="both"/>
        <w:rPr>
          <w:rFonts w:ascii="Times New Roman" w:hAnsi="Times New Roman"/>
          <w:lang w:val="en-GB"/>
        </w:rPr>
        <w:sectPr w:rsidRPr="00504846" w:rsidR="00A94A51" w:rsidSect="00A43253">
          <w:headerReference w:type="default" r:id="rId7"/>
          <w:type w:val="continuous"/>
          <w:pgSz w:w="11906" w:h="16838" w:orient="portrait"/>
          <w:pgMar w:top="1418" w:right="1134" w:bottom="1134" w:left="1134" w:header="720" w:footer="720" w:gutter="0"/>
          <w:pgNumType w:start="0"/>
          <w:cols w:space="708"/>
          <w:docGrid w:linePitch="360"/>
        </w:sectPr>
      </w:pPr>
    </w:p>
    <w:p w:rsidRPr="00504846" w:rsidR="00A94A51" w:rsidRDefault="00A94A51" w14:paraId="7CBFD60A" w14:textId="77777777">
      <w:pPr>
        <w:pStyle w:val="a4"/>
        <w:jc w:val="both"/>
        <w:rPr>
          <w:rFonts w:ascii="Times New Roman" w:hAnsi="Times New Roman"/>
          <w:b/>
          <w:lang w:val="en-GB"/>
        </w:rPr>
      </w:pPr>
      <w:r w:rsidRPr="00504846">
        <w:rPr>
          <w:rFonts w:ascii="Times New Roman" w:hAnsi="Times New Roman"/>
          <w:b/>
          <w:lang w:val="en-GB"/>
        </w:rPr>
        <w:t>Abstract</w:t>
      </w:r>
    </w:p>
    <w:p w:rsidRPr="00504846" w:rsidR="00A94A51" w:rsidRDefault="00A94A51" w14:paraId="72A3D3EC" w14:textId="77777777">
      <w:pPr>
        <w:pStyle w:val="a4"/>
        <w:jc w:val="both"/>
        <w:rPr>
          <w:rFonts w:ascii="Times New Roman" w:hAnsi="Times New Roman"/>
          <w:b/>
          <w:lang w:val="en-GB"/>
        </w:rPr>
      </w:pPr>
    </w:p>
    <w:p w:rsidRPr="00504846" w:rsidR="00A94A51" w:rsidRDefault="00A73E4F" w14:paraId="74C55473" w14:textId="0E7153FE">
      <w:pPr>
        <w:pStyle w:val="a4"/>
        <w:ind w:firstLine="284"/>
        <w:jc w:val="both"/>
        <w:rPr>
          <w:rFonts w:ascii="Times New Roman" w:hAnsi="Times New Roman"/>
          <w:lang w:val="en-GB"/>
        </w:rPr>
      </w:pPr>
      <w:r w:rsidRPr="00504846">
        <w:rPr>
          <w:rFonts w:ascii="Times New Roman" w:hAnsi="Times New Roman"/>
          <w:b/>
          <w:lang w:val="en-GB"/>
        </w:rPr>
        <w:t xml:space="preserve">Occupational safety and health (OSH) is an indispensable area across different careers. More and more employers and employees are concerning about their work safety and health and therefore requires high demand of labour entering the OSH industry. Relevant trainings on potential students would become important. The first critical criteria of establishing a safe and health work environment would be accomplished by workplace hygiene monitoring. By closely monitoring the workplace environment, this could reduce the risk of exposing employees to potential hazardous source. The continuous monitoring may include indoor air quality assessment, ergonomic assessment, physical and chemical risk assessment at the workplace. Students could acquire these practical skills through student </w:t>
      </w:r>
      <w:r w:rsidRPr="00504846" w:rsidR="00F844C0">
        <w:rPr>
          <w:rFonts w:ascii="Times New Roman" w:hAnsi="Times New Roman"/>
          <w:b/>
          <w:lang w:val="en-GB"/>
        </w:rPr>
        <w:t>initiative</w:t>
      </w:r>
      <w:r w:rsidRPr="00504846">
        <w:rPr>
          <w:rFonts w:ascii="Times New Roman" w:hAnsi="Times New Roman"/>
          <w:b/>
          <w:lang w:val="en-GB"/>
        </w:rPr>
        <w:t xml:space="preserve"> </w:t>
      </w:r>
      <w:r w:rsidRPr="00504846" w:rsidR="0029696B">
        <w:rPr>
          <w:rFonts w:ascii="Times New Roman" w:hAnsi="Times New Roman"/>
          <w:b/>
          <w:lang w:val="en-GB"/>
        </w:rPr>
        <w:t>project-based</w:t>
      </w:r>
      <w:r w:rsidRPr="00504846">
        <w:rPr>
          <w:rFonts w:ascii="Times New Roman" w:hAnsi="Times New Roman"/>
          <w:b/>
          <w:lang w:val="en-GB"/>
        </w:rPr>
        <w:t xml:space="preserve"> learning (PBL). Many previous studies showed that practical learning, hands-on activities, and student activism help them to grasp the difficult technological knowledge and hence develop their </w:t>
      </w:r>
      <w:r w:rsidRPr="00504846" w:rsidR="00F844C0">
        <w:rPr>
          <w:rFonts w:ascii="Times New Roman" w:hAnsi="Times New Roman"/>
          <w:b/>
          <w:lang w:val="en-GB"/>
        </w:rPr>
        <w:t>intellectual</w:t>
      </w:r>
      <w:r w:rsidRPr="00504846">
        <w:rPr>
          <w:rFonts w:ascii="Times New Roman" w:hAnsi="Times New Roman"/>
          <w:b/>
          <w:lang w:val="en-GB"/>
        </w:rPr>
        <w:t xml:space="preserve"> processes. As different workplaces may have different scenarios, </w:t>
      </w:r>
      <w:r w:rsidRPr="00504846" w:rsidR="00504846">
        <w:rPr>
          <w:rFonts w:ascii="Times New Roman" w:hAnsi="Times New Roman"/>
          <w:b/>
          <w:lang w:val="en-GB"/>
        </w:rPr>
        <w:t>project-based</w:t>
      </w:r>
      <w:r w:rsidRPr="00504846">
        <w:rPr>
          <w:rFonts w:ascii="Times New Roman" w:hAnsi="Times New Roman"/>
          <w:b/>
          <w:lang w:val="en-GB"/>
        </w:rPr>
        <w:t xml:space="preserve"> learning provide an opportunity to let students to work on driving questions to simulate different work environment. Several workplace scenarios will be provided to students and they could work on the topics they are interested in. Then, fundamental workplace hygiene monitoring skills were introduced. Students are required to submit a proposal on the topics selected and they may have hand-on practice on using those monitoring equipment such as VOC and formaldehyde monitor, particle counter, heat stress monitor, sound level meter, etc. Students may discuss among themselves on sampling and measurement strategy, data processing and </w:t>
      </w:r>
      <w:r w:rsidRPr="00504846" w:rsidR="00F844C0">
        <w:rPr>
          <w:rFonts w:ascii="Times New Roman" w:hAnsi="Times New Roman"/>
          <w:b/>
          <w:lang w:val="en-GB"/>
        </w:rPr>
        <w:t>utilization</w:t>
      </w:r>
      <w:r w:rsidRPr="00504846">
        <w:rPr>
          <w:rFonts w:ascii="Times New Roman" w:hAnsi="Times New Roman"/>
          <w:b/>
          <w:lang w:val="en-GB"/>
        </w:rPr>
        <w:t>. Lea</w:t>
      </w:r>
      <w:r w:rsidR="004C6415">
        <w:rPr>
          <w:rFonts w:ascii="Times New Roman" w:hAnsi="Times New Roman"/>
          <w:b/>
          <w:lang w:val="en-GB"/>
        </w:rPr>
        <w:t>r</w:t>
      </w:r>
      <w:r w:rsidRPr="00504846">
        <w:rPr>
          <w:rFonts w:ascii="Times New Roman" w:hAnsi="Times New Roman"/>
          <w:b/>
          <w:lang w:val="en-GB"/>
        </w:rPr>
        <w:t xml:space="preserve">ning progress of students is closely monitored through a series of activities including brainstorming, interview, industrial visit, etc. Instructors would then give the appropriate feedbacks based on student performances from each activity. The overall learning outcomes would be evaluated by final presentation and a poster session. Positive feedbacks from different stakeholders received using project based learning approach. The </w:t>
      </w:r>
      <w:r w:rsidRPr="00504846">
        <w:rPr>
          <w:rFonts w:ascii="Times New Roman" w:hAnsi="Times New Roman"/>
          <w:b/>
          <w:lang w:val="en-GB"/>
        </w:rPr>
        <w:t>feedbacks obtained will be used to improve the learning and teaching quality in the next cycle.</w:t>
      </w:r>
    </w:p>
    <w:p w:rsidRPr="00504846" w:rsidR="00A94A51" w:rsidRDefault="00A94A51" w14:paraId="0D0B940D" w14:textId="77777777">
      <w:pPr>
        <w:pStyle w:val="a4"/>
        <w:jc w:val="both"/>
        <w:rPr>
          <w:rFonts w:ascii="Times New Roman" w:hAnsi="Times New Roman"/>
          <w:b/>
          <w:lang w:val="en-GB" w:eastAsia="ja-JP"/>
        </w:rPr>
      </w:pPr>
    </w:p>
    <w:p w:rsidRPr="00504846" w:rsidR="00A94A51" w:rsidRDefault="00A94A51" w14:paraId="0B2AE246" w14:textId="5405EDE9">
      <w:pPr>
        <w:pStyle w:val="a4"/>
        <w:ind w:left="2"/>
        <w:jc w:val="both"/>
        <w:rPr>
          <w:rFonts w:ascii="Times New Roman" w:hAnsi="Times New Roman"/>
          <w:bCs/>
          <w:lang w:val="en-GB" w:eastAsia="ja-JP"/>
        </w:rPr>
      </w:pPr>
      <w:r w:rsidRPr="00504846">
        <w:rPr>
          <w:rFonts w:ascii="Times New Roman" w:hAnsi="Times New Roman"/>
          <w:b/>
          <w:lang w:val="en-GB" w:eastAsia="ja-JP"/>
        </w:rPr>
        <w:t xml:space="preserve">Keywords: </w:t>
      </w:r>
      <w:r w:rsidRPr="00504846" w:rsidR="00A73E4F">
        <w:rPr>
          <w:rFonts w:ascii="Times New Roman" w:hAnsi="Times New Roman"/>
          <w:bCs/>
          <w:i/>
          <w:iCs/>
          <w:lang w:val="en-GB" w:eastAsia="ja-JP"/>
        </w:rPr>
        <w:t xml:space="preserve">Occupational safety and health, workplace hygiene monitoring, </w:t>
      </w:r>
      <w:r w:rsidRPr="00504846" w:rsidR="00225BEC">
        <w:rPr>
          <w:rFonts w:ascii="Times New Roman" w:hAnsi="Times New Roman"/>
          <w:bCs/>
          <w:i/>
          <w:iCs/>
          <w:lang w:val="en-GB" w:eastAsia="ja-JP"/>
        </w:rPr>
        <w:t>project-based</w:t>
      </w:r>
      <w:r w:rsidRPr="00504846" w:rsidR="00A73E4F">
        <w:rPr>
          <w:rFonts w:ascii="Times New Roman" w:hAnsi="Times New Roman"/>
          <w:bCs/>
          <w:i/>
          <w:iCs/>
          <w:lang w:val="en-GB" w:eastAsia="ja-JP"/>
        </w:rPr>
        <w:t xml:space="preserve"> learning, </w:t>
      </w:r>
      <w:r w:rsidR="00CB5C02">
        <w:rPr>
          <w:rFonts w:ascii="Times New Roman" w:hAnsi="Times New Roman"/>
          <w:bCs/>
          <w:i/>
          <w:iCs/>
          <w:lang w:val="en-GB" w:eastAsia="ja-JP"/>
        </w:rPr>
        <w:t>safety promotion</w:t>
      </w:r>
      <w:r w:rsidRPr="00504846" w:rsidR="00A73E4F">
        <w:rPr>
          <w:rFonts w:ascii="Times New Roman" w:hAnsi="Times New Roman"/>
          <w:bCs/>
          <w:i/>
          <w:iCs/>
          <w:lang w:val="en-GB" w:eastAsia="ja-JP"/>
        </w:rPr>
        <w:t>, student initiative</w:t>
      </w:r>
    </w:p>
    <w:p w:rsidRPr="00504846" w:rsidR="00A94A51" w:rsidRDefault="00A94A51" w14:paraId="0E27B00A" w14:textId="77777777">
      <w:pPr>
        <w:pStyle w:val="a4"/>
        <w:jc w:val="both"/>
        <w:rPr>
          <w:rFonts w:ascii="Times New Roman" w:hAnsi="Times New Roman"/>
          <w:b/>
          <w:lang w:val="en-GB" w:eastAsia="ja-JP"/>
        </w:rPr>
      </w:pPr>
    </w:p>
    <w:p w:rsidRPr="00504846" w:rsidR="00A94A51" w:rsidRDefault="00A94A51" w14:paraId="3E7A9F1C" w14:textId="77777777">
      <w:pPr>
        <w:pStyle w:val="a4"/>
        <w:rPr>
          <w:rFonts w:ascii="Times New Roman" w:hAnsi="Times New Roman"/>
          <w:b/>
          <w:lang w:val="en-GB"/>
        </w:rPr>
      </w:pPr>
      <w:r w:rsidRPr="00504846">
        <w:rPr>
          <w:rFonts w:ascii="Times New Roman" w:hAnsi="Times New Roman"/>
          <w:b/>
          <w:lang w:val="en-GB"/>
        </w:rPr>
        <w:t>Introduction</w:t>
      </w:r>
      <w:r w:rsidRPr="00504846">
        <w:rPr>
          <w:rFonts w:ascii="Times New Roman" w:hAnsi="Times New Roman"/>
          <w:b/>
          <w:lang w:val="en-GB"/>
        </w:rPr>
        <w:cr/>
      </w:r>
    </w:p>
    <w:p w:rsidRPr="00504846" w:rsidR="00A94A51" w:rsidP="00963AD1" w:rsidRDefault="0043744B" w14:paraId="488536C7" w14:textId="631E64A1">
      <w:pPr>
        <w:pStyle w:val="a4"/>
        <w:ind w:firstLine="284"/>
        <w:jc w:val="both"/>
        <w:rPr>
          <w:rFonts w:ascii="Times New Roman" w:hAnsi="Times New Roman"/>
          <w:lang w:val="en-GB"/>
        </w:rPr>
      </w:pPr>
      <w:r w:rsidRPr="00504846">
        <w:rPr>
          <w:rFonts w:ascii="Times New Roman" w:hAnsi="Times New Roman"/>
          <w:lang w:val="en-GB"/>
        </w:rPr>
        <w:t xml:space="preserve">In 2022, the total number of occupational injuries in all workplaces in Hong Kong was reported as 32,026 </w:t>
      </w:r>
      <w:r w:rsidRPr="00504846" w:rsidR="00532D2C">
        <w:rPr>
          <w:rFonts w:ascii="Times New Roman" w:hAnsi="Times New Roman"/>
          <w:lang w:val="en-GB"/>
        </w:rPr>
        <w:t>and the</w:t>
      </w:r>
      <w:r w:rsidRPr="00504846">
        <w:rPr>
          <w:rFonts w:ascii="Times New Roman" w:hAnsi="Times New Roman"/>
          <w:lang w:val="en-GB"/>
        </w:rPr>
        <w:t xml:space="preserve"> number of deaths was as high as 266 (</w:t>
      </w:r>
      <w:r w:rsidRPr="00504846" w:rsidR="00D17A32">
        <w:rPr>
          <w:rFonts w:ascii="Times New Roman" w:hAnsi="Times New Roman"/>
          <w:lang w:val="en-GB"/>
        </w:rPr>
        <w:t>HKLD, 2022</w:t>
      </w:r>
      <w:r w:rsidRPr="00504846">
        <w:rPr>
          <w:rFonts w:ascii="Times New Roman" w:hAnsi="Times New Roman"/>
          <w:lang w:val="en-GB"/>
        </w:rPr>
        <w:t>).</w:t>
      </w:r>
      <w:r w:rsidRPr="00504846" w:rsidR="001D1104">
        <w:rPr>
          <w:rFonts w:ascii="Times New Roman" w:hAnsi="Times New Roman"/>
          <w:lang w:val="en-GB"/>
        </w:rPr>
        <w:t xml:space="preserve"> To prevent occupational injuries and accidents from occurring, occupational safety and health (OSH) is an indispensable area across different industries. Therefore, workplace safety plays an important role in any industry since workers are desire and willing to work in a safe and sound environment. OSH is always a relevant issue among different sectors as workers are at greater risk of work-related health causes and workplace accidents (European Agency for Safety and Health at Work, Web).</w:t>
      </w:r>
      <w:r w:rsidRPr="00504846" w:rsidR="00963AD1">
        <w:rPr>
          <w:rFonts w:ascii="Times New Roman" w:hAnsi="Times New Roman"/>
          <w:lang w:val="en-GB"/>
        </w:rPr>
        <w:t xml:space="preserve"> From World Health and Organization (WHO), OSH is a multidisciplinary activity with the aim to protect and promote the health of workers by taking precautions against occupational accidents and diseases; and to develop and promote healthy and safe work, work environment, and work organizations (International, 2013). </w:t>
      </w:r>
      <w:r w:rsidR="00D97B4E">
        <w:rPr>
          <w:rFonts w:ascii="Times New Roman" w:hAnsi="Times New Roman"/>
          <w:lang w:val="en-GB"/>
        </w:rPr>
        <w:t xml:space="preserve">Occupational hygiene involves the use of instrument for the measurement of work-related parameters such as noise, heat stress, air and vapor concentrations, etc. </w:t>
      </w:r>
      <w:r w:rsidRPr="00504846" w:rsidR="001617B7">
        <w:rPr>
          <w:rFonts w:ascii="Times New Roman" w:hAnsi="Times New Roman"/>
          <w:lang w:val="en-GB"/>
        </w:rPr>
        <w:t>Continuous o</w:t>
      </w:r>
      <w:r w:rsidRPr="00504846" w:rsidR="00963AD1">
        <w:rPr>
          <w:rFonts w:ascii="Times New Roman" w:hAnsi="Times New Roman"/>
          <w:lang w:val="en-GB"/>
        </w:rPr>
        <w:t>ccupational hygiene monitoring therefore provides a scientific basis to improve the workplace safety</w:t>
      </w:r>
      <w:r w:rsidRPr="00504846" w:rsidR="001617B7">
        <w:rPr>
          <w:rFonts w:ascii="Times New Roman" w:hAnsi="Times New Roman"/>
          <w:lang w:val="en-GB"/>
        </w:rPr>
        <w:t>. The continuous monitoring may include indoor air quality assessment, ergonomic assessment, physical and chemical risk assessment at various workplaces.</w:t>
      </w:r>
    </w:p>
    <w:p w:rsidRPr="00504846" w:rsidR="0043744B" w:rsidRDefault="008F7ADB" w14:paraId="7DBEED27" w14:textId="67FF1301">
      <w:pPr>
        <w:pStyle w:val="a4"/>
        <w:ind w:firstLine="284"/>
        <w:jc w:val="both"/>
        <w:rPr>
          <w:rFonts w:ascii="Times New Roman" w:hAnsi="Times New Roman"/>
          <w:lang w:val="en-GB"/>
        </w:rPr>
      </w:pPr>
      <w:r w:rsidRPr="00504846">
        <w:rPr>
          <w:rFonts w:ascii="Times New Roman" w:hAnsi="Times New Roman"/>
          <w:lang w:val="en-GB"/>
        </w:rPr>
        <w:t xml:space="preserve">Since occupational hygiene monitoring requires scientific approach, in-depth student trainings </w:t>
      </w:r>
      <w:r w:rsidRPr="00504846" w:rsidR="6705CA7A">
        <w:rPr>
          <w:rFonts w:ascii="Times New Roman" w:hAnsi="Times New Roman"/>
          <w:lang w:val="en-GB"/>
        </w:rPr>
        <w:t xml:space="preserve">and guidance </w:t>
      </w:r>
      <w:r w:rsidRPr="00504846">
        <w:rPr>
          <w:rFonts w:ascii="Times New Roman" w:hAnsi="Times New Roman"/>
          <w:lang w:val="en-GB"/>
        </w:rPr>
        <w:t>such as sampling strategies, equipment instrumentation and data analysis are necessary.</w:t>
      </w:r>
      <w:r w:rsidRPr="00504846" w:rsidR="212EBCD1">
        <w:rPr>
          <w:rFonts w:ascii="Times New Roman" w:hAnsi="Times New Roman"/>
          <w:lang w:val="en-GB"/>
        </w:rPr>
        <w:t xml:space="preserve"> Project based learning (PBL) approach would be the most suitable </w:t>
      </w:r>
      <w:r w:rsidRPr="00504846" w:rsidR="297D96B5">
        <w:rPr>
          <w:rFonts w:ascii="Times New Roman" w:hAnsi="Times New Roman"/>
          <w:lang w:val="en-GB"/>
        </w:rPr>
        <w:t>way to provide an opportunity to let students to work on driving questions to simulate different work environment as different workplaces may have different scenarios.</w:t>
      </w:r>
      <w:r w:rsidRPr="00504846" w:rsidR="16364558">
        <w:rPr>
          <w:rFonts w:ascii="Times New Roman" w:hAnsi="Times New Roman"/>
          <w:lang w:val="en-GB"/>
        </w:rPr>
        <w:t xml:space="preserve"> </w:t>
      </w:r>
      <w:r w:rsidR="00D97B4E">
        <w:rPr>
          <w:rFonts w:ascii="Times New Roman" w:hAnsi="Times New Roman"/>
          <w:lang w:val="en-GB"/>
        </w:rPr>
        <w:t xml:space="preserve">PBL is a learning approach during the entire learning process of students. Students could obtain </w:t>
      </w:r>
      <w:r w:rsidR="00D97B4E">
        <w:rPr>
          <w:rFonts w:ascii="Times New Roman" w:hAnsi="Times New Roman"/>
          <w:lang w:val="en-GB"/>
        </w:rPr>
        <w:t xml:space="preserve">knowledge through a project with a driving question proposed by the teacher. Students need to actively search information and resources by themselves to solve the problems. </w:t>
      </w:r>
      <w:r w:rsidRPr="00504846" w:rsidR="16364558">
        <w:rPr>
          <w:rFonts w:ascii="Times New Roman" w:hAnsi="Times New Roman"/>
          <w:lang w:val="en-GB"/>
        </w:rPr>
        <w:t>Recent studies have found that students can learn and improve</w:t>
      </w:r>
      <w:r w:rsidRPr="00504846" w:rsidR="68A19ADB">
        <w:rPr>
          <w:rFonts w:ascii="Times New Roman" w:hAnsi="Times New Roman"/>
          <w:lang w:val="en-GB"/>
        </w:rPr>
        <w:t xml:space="preserve"> scientific practices with guidance (van der Graaf et al., 2015).</w:t>
      </w:r>
      <w:r w:rsidRPr="00504846" w:rsidR="4D33F22B">
        <w:rPr>
          <w:rFonts w:ascii="Times New Roman" w:hAnsi="Times New Roman"/>
          <w:lang w:val="en-GB"/>
        </w:rPr>
        <w:t xml:space="preserve"> This approach </w:t>
      </w:r>
      <w:r w:rsidRPr="00504846" w:rsidR="004C3F6A">
        <w:rPr>
          <w:rFonts w:ascii="Times New Roman" w:hAnsi="Times New Roman"/>
          <w:lang w:val="en-GB"/>
        </w:rPr>
        <w:t>allows</w:t>
      </w:r>
      <w:r w:rsidRPr="00504846" w:rsidR="4D33F22B">
        <w:rPr>
          <w:rFonts w:ascii="Times New Roman" w:hAnsi="Times New Roman"/>
          <w:lang w:val="en-GB"/>
        </w:rPr>
        <w:t xml:space="preserve"> students in asking scientific questions and conducting investigations </w:t>
      </w:r>
      <w:r w:rsidRPr="00504846" w:rsidR="655D1560">
        <w:rPr>
          <w:rFonts w:ascii="Times New Roman" w:hAnsi="Times New Roman"/>
          <w:lang w:val="en-GB"/>
        </w:rPr>
        <w:t>such as</w:t>
      </w:r>
      <w:r w:rsidRPr="00504846" w:rsidR="4D33F22B">
        <w:rPr>
          <w:rFonts w:ascii="Times New Roman" w:hAnsi="Times New Roman"/>
          <w:lang w:val="en-GB"/>
        </w:rPr>
        <w:t xml:space="preserve"> collecting information from different sources, doing </w:t>
      </w:r>
      <w:r w:rsidRPr="00504846" w:rsidR="0029696B">
        <w:rPr>
          <w:rFonts w:ascii="Times New Roman" w:hAnsi="Times New Roman"/>
          <w:lang w:val="en-GB"/>
        </w:rPr>
        <w:t>experiments,</w:t>
      </w:r>
      <w:r w:rsidRPr="00504846" w:rsidR="52C0C9DA">
        <w:rPr>
          <w:rFonts w:ascii="Times New Roman" w:hAnsi="Times New Roman"/>
          <w:lang w:val="en-GB"/>
        </w:rPr>
        <w:t xml:space="preserve"> and </w:t>
      </w:r>
      <w:r w:rsidRPr="00504846" w:rsidR="4D33F22B">
        <w:rPr>
          <w:rFonts w:ascii="Times New Roman" w:hAnsi="Times New Roman"/>
          <w:lang w:val="en-GB"/>
        </w:rPr>
        <w:t xml:space="preserve">making observations to </w:t>
      </w:r>
      <w:r w:rsidRPr="00504846" w:rsidR="004C3F6A">
        <w:rPr>
          <w:rFonts w:ascii="Times New Roman" w:hAnsi="Times New Roman"/>
          <w:lang w:val="en-GB"/>
        </w:rPr>
        <w:t xml:space="preserve">solve the authentic problems and is therefore considered effective in encouraging students to </w:t>
      </w:r>
      <w:r w:rsidRPr="00504846" w:rsidR="00CF1BE3">
        <w:rPr>
          <w:rFonts w:ascii="Times New Roman" w:hAnsi="Times New Roman"/>
          <w:lang w:val="en-GB"/>
        </w:rPr>
        <w:t>develop and</w:t>
      </w:r>
      <w:r w:rsidRPr="00504846" w:rsidR="004C3F6A">
        <w:rPr>
          <w:rFonts w:ascii="Times New Roman" w:hAnsi="Times New Roman"/>
          <w:lang w:val="en-GB"/>
        </w:rPr>
        <w:t xml:space="preserve"> apply skills and knowledge</w:t>
      </w:r>
      <w:r w:rsidRPr="00504846" w:rsidR="4BD18BBB">
        <w:rPr>
          <w:rFonts w:ascii="Times New Roman" w:hAnsi="Times New Roman"/>
          <w:lang w:val="en-GB"/>
        </w:rPr>
        <w:t xml:space="preserve"> (Krajcik &amp; Czerniak, 2018)</w:t>
      </w:r>
      <w:r w:rsidRPr="00504846" w:rsidR="4D33F22B">
        <w:rPr>
          <w:rFonts w:ascii="Times New Roman" w:hAnsi="Times New Roman"/>
          <w:lang w:val="en-GB"/>
        </w:rPr>
        <w:t>.</w:t>
      </w:r>
      <w:r w:rsidRPr="00504846" w:rsidR="001431A0">
        <w:rPr>
          <w:rFonts w:ascii="Times New Roman" w:hAnsi="Times New Roman"/>
          <w:lang w:val="en-GB"/>
        </w:rPr>
        <w:t xml:space="preserve"> Due to the complexity in design, PBL usually takes the form of group projects (</w:t>
      </w:r>
      <w:proofErr w:type="spellStart"/>
      <w:r w:rsidRPr="00504846" w:rsidR="001431A0">
        <w:rPr>
          <w:rFonts w:ascii="Times New Roman" w:hAnsi="Times New Roman"/>
          <w:lang w:val="en-GB"/>
        </w:rPr>
        <w:t>Montequín</w:t>
      </w:r>
      <w:proofErr w:type="spellEnd"/>
      <w:r w:rsidRPr="00504846" w:rsidR="001431A0">
        <w:rPr>
          <w:rFonts w:ascii="Times New Roman" w:hAnsi="Times New Roman"/>
          <w:lang w:val="en-GB"/>
        </w:rPr>
        <w:t xml:space="preserve"> et al., 2012), which allows students to learn through communication and cooperation skills and a </w:t>
      </w:r>
      <w:r w:rsidRPr="00504846" w:rsidR="0029696B">
        <w:rPr>
          <w:rFonts w:ascii="Times New Roman" w:hAnsi="Times New Roman"/>
          <w:lang w:val="en-GB"/>
        </w:rPr>
        <w:t>necessary soft skill</w:t>
      </w:r>
      <w:r w:rsidRPr="00504846" w:rsidR="001431A0">
        <w:rPr>
          <w:rFonts w:ascii="Times New Roman" w:hAnsi="Times New Roman"/>
          <w:lang w:val="en-GB"/>
        </w:rPr>
        <w:t xml:space="preserve"> to work successfully in the future.</w:t>
      </w:r>
    </w:p>
    <w:p w:rsidRPr="00504846" w:rsidR="00C873D8" w:rsidRDefault="0007186B" w14:paraId="45CF3A6F" w14:textId="5247B5D6">
      <w:pPr>
        <w:pStyle w:val="a4"/>
        <w:ind w:firstLine="284"/>
        <w:jc w:val="both"/>
        <w:rPr>
          <w:rFonts w:ascii="Times New Roman" w:hAnsi="Times New Roman"/>
          <w:lang w:val="en-GB"/>
        </w:rPr>
      </w:pPr>
      <w:r w:rsidRPr="00504846">
        <w:rPr>
          <w:rFonts w:ascii="Times New Roman" w:hAnsi="Times New Roman"/>
          <w:lang w:val="en-GB"/>
        </w:rPr>
        <w:t xml:space="preserve">The aims of this study are to (1) </w:t>
      </w:r>
      <w:r w:rsidRPr="00504846" w:rsidR="00B57ECC">
        <w:rPr>
          <w:rFonts w:ascii="Times New Roman" w:hAnsi="Times New Roman"/>
          <w:lang w:val="en-GB"/>
        </w:rPr>
        <w:t xml:space="preserve">promote the occupational safety awareness via students’ trainings; (2) </w:t>
      </w:r>
      <w:r w:rsidRPr="00504846">
        <w:rPr>
          <w:rFonts w:ascii="Times New Roman" w:hAnsi="Times New Roman"/>
          <w:lang w:val="en-GB"/>
        </w:rPr>
        <w:t>introduce a series of students’ trainings</w:t>
      </w:r>
      <w:r w:rsidRPr="00504846" w:rsidR="00B57ECC">
        <w:rPr>
          <w:rFonts w:ascii="Times New Roman" w:hAnsi="Times New Roman"/>
          <w:lang w:val="en-GB"/>
        </w:rPr>
        <w:t xml:space="preserve"> on occupational hygiene monitoring</w:t>
      </w:r>
      <w:r w:rsidRPr="00504846">
        <w:rPr>
          <w:rFonts w:ascii="Times New Roman" w:hAnsi="Times New Roman"/>
          <w:lang w:val="en-GB"/>
        </w:rPr>
        <w:t xml:space="preserve"> by </w:t>
      </w:r>
      <w:r w:rsidRPr="00504846" w:rsidR="0029696B">
        <w:rPr>
          <w:rFonts w:ascii="Times New Roman" w:hAnsi="Times New Roman"/>
          <w:lang w:val="en-GB"/>
        </w:rPr>
        <w:t>project-based</w:t>
      </w:r>
      <w:r w:rsidRPr="00504846">
        <w:rPr>
          <w:rFonts w:ascii="Times New Roman" w:hAnsi="Times New Roman"/>
          <w:lang w:val="en-GB"/>
        </w:rPr>
        <w:t xml:space="preserve"> learning approach</w:t>
      </w:r>
      <w:r w:rsidRPr="00504846" w:rsidR="00B57ECC">
        <w:rPr>
          <w:rFonts w:ascii="Times New Roman" w:hAnsi="Times New Roman"/>
          <w:lang w:val="en-GB"/>
        </w:rPr>
        <w:t xml:space="preserve"> and (3) evaluate the effectiveness of integrating </w:t>
      </w:r>
      <w:r w:rsidRPr="00504846" w:rsidR="00C52473">
        <w:rPr>
          <w:rFonts w:ascii="Times New Roman" w:hAnsi="Times New Roman"/>
          <w:lang w:val="en-GB"/>
        </w:rPr>
        <w:t>project-based</w:t>
      </w:r>
      <w:r w:rsidRPr="00504846" w:rsidR="00B57ECC">
        <w:rPr>
          <w:rFonts w:ascii="Times New Roman" w:hAnsi="Times New Roman"/>
          <w:lang w:val="en-GB"/>
        </w:rPr>
        <w:t xml:space="preserve"> learning into teaching and learning</w:t>
      </w:r>
      <w:r w:rsidRPr="00504846">
        <w:rPr>
          <w:rFonts w:ascii="Times New Roman" w:hAnsi="Times New Roman"/>
          <w:lang w:val="en-GB"/>
        </w:rPr>
        <w:t>.</w:t>
      </w:r>
    </w:p>
    <w:p w:rsidRPr="00504846" w:rsidR="00A94A51" w:rsidRDefault="00A94A51" w14:paraId="60061E4C" w14:textId="77777777">
      <w:pPr>
        <w:pStyle w:val="a4"/>
        <w:jc w:val="both"/>
        <w:rPr>
          <w:rFonts w:ascii="Times New Roman" w:hAnsi="Times New Roman"/>
          <w:lang w:val="en-GB"/>
        </w:rPr>
      </w:pPr>
    </w:p>
    <w:p w:rsidRPr="00504846" w:rsidR="00A94A51" w:rsidRDefault="00A94A51" w14:paraId="1C270DB3" w14:textId="73F2031E">
      <w:pPr>
        <w:pStyle w:val="a4"/>
        <w:jc w:val="both"/>
        <w:outlineLvl w:val="0"/>
        <w:rPr>
          <w:rFonts w:ascii="Times New Roman" w:hAnsi="Times New Roman"/>
          <w:b/>
          <w:lang w:val="en-GB"/>
        </w:rPr>
      </w:pPr>
      <w:r w:rsidRPr="00504846">
        <w:rPr>
          <w:rFonts w:ascii="Times New Roman" w:hAnsi="Times New Roman"/>
          <w:b/>
          <w:lang w:val="en-GB"/>
        </w:rPr>
        <w:t xml:space="preserve">Materials and Methods  </w:t>
      </w:r>
    </w:p>
    <w:p w:rsidRPr="00504846" w:rsidR="00320DB3" w:rsidP="00320DB3" w:rsidRDefault="00320DB3" w14:paraId="44EAFD9C" w14:textId="77777777">
      <w:pPr>
        <w:rPr>
          <w:sz w:val="20"/>
          <w:lang w:val="en-GB" w:eastAsia="ja-JP"/>
        </w:rPr>
      </w:pPr>
    </w:p>
    <w:p w:rsidRPr="00504846" w:rsidR="00320DB3" w:rsidP="00B57ECC" w:rsidRDefault="00B57ECC" w14:paraId="16812415" w14:textId="3016A5B3">
      <w:pPr>
        <w:ind w:firstLine="284"/>
        <w:jc w:val="both"/>
        <w:rPr>
          <w:bCs/>
          <w:i/>
          <w:iCs/>
          <w:sz w:val="20"/>
          <w:lang w:val="en-GB" w:eastAsia="de-DE"/>
        </w:rPr>
      </w:pPr>
      <w:r w:rsidRPr="00504846">
        <w:rPr>
          <w:bCs/>
          <w:iCs/>
          <w:sz w:val="20"/>
          <w:lang w:val="en-GB" w:eastAsia="de-DE"/>
        </w:rPr>
        <w:t>At the beginning of the course, students were given a PBL project brief comprising of the project title, driving question, project objective, project structure, roles and responsibilities, project path and milestones, assessment rubrics, professional ethics and safety precaution. Students were divided into groups of 4 to 5 and they worked on the same project theme ‘</w:t>
      </w:r>
      <w:r w:rsidRPr="00504846">
        <w:rPr>
          <w:bCs/>
          <w:i/>
          <w:iCs/>
          <w:sz w:val="20"/>
          <w:lang w:val="en-GB" w:eastAsia="de-DE"/>
        </w:rPr>
        <w:t>Formulation and Implementation of Occupational Hygiene Assessment for a Workplace</w:t>
      </w:r>
      <w:r w:rsidRPr="00504846">
        <w:rPr>
          <w:bCs/>
          <w:iCs/>
          <w:sz w:val="20"/>
          <w:lang w:val="en-GB" w:eastAsia="de-DE"/>
        </w:rPr>
        <w:t>’ and shared the same driving question ‘</w:t>
      </w:r>
      <w:r w:rsidRPr="00504846">
        <w:rPr>
          <w:bCs/>
          <w:i/>
          <w:iCs/>
          <w:sz w:val="20"/>
          <w:lang w:val="en-GB" w:eastAsia="de-DE"/>
        </w:rPr>
        <w:t>How do we develop and implement a suitable and effective occupational hygiene assessment for a workplace in order to ensure the safety and health of all employees at work?</w:t>
      </w:r>
      <w:r w:rsidRPr="00504846">
        <w:rPr>
          <w:bCs/>
          <w:iCs/>
          <w:sz w:val="20"/>
          <w:lang w:val="en-GB" w:eastAsia="de-DE"/>
        </w:rPr>
        <w:t>’.</w:t>
      </w:r>
      <w:r w:rsidRPr="00504846" w:rsidR="00737BBC">
        <w:rPr>
          <w:bCs/>
          <w:iCs/>
          <w:sz w:val="20"/>
          <w:lang w:val="en-GB" w:eastAsia="de-DE"/>
        </w:rPr>
        <w:t xml:space="preserve"> A two-hour</w:t>
      </w:r>
      <w:r w:rsidRPr="00504846" w:rsidR="008E3096">
        <w:rPr>
          <w:bCs/>
          <w:iCs/>
          <w:sz w:val="20"/>
          <w:lang w:val="en-GB" w:eastAsia="de-DE"/>
        </w:rPr>
        <w:t xml:space="preserve"> lesson </w:t>
      </w:r>
      <w:r w:rsidRPr="00504846" w:rsidR="00903FD5">
        <w:rPr>
          <w:bCs/>
          <w:iCs/>
          <w:sz w:val="20"/>
          <w:lang w:val="en-GB" w:eastAsia="de-DE"/>
        </w:rPr>
        <w:t>was</w:t>
      </w:r>
      <w:r w:rsidRPr="00504846" w:rsidR="008E3096">
        <w:rPr>
          <w:bCs/>
          <w:iCs/>
          <w:sz w:val="20"/>
          <w:lang w:val="en-GB" w:eastAsia="de-DE"/>
        </w:rPr>
        <w:t xml:space="preserve"> constructed for students to discuss </w:t>
      </w:r>
      <w:r w:rsidRPr="00504846" w:rsidR="00B67BC9">
        <w:rPr>
          <w:bCs/>
          <w:iCs/>
          <w:sz w:val="20"/>
          <w:lang w:val="en-GB" w:eastAsia="de-DE"/>
        </w:rPr>
        <w:t xml:space="preserve">and brainstorm </w:t>
      </w:r>
      <w:r w:rsidRPr="00504846" w:rsidR="008E3096">
        <w:rPr>
          <w:bCs/>
          <w:iCs/>
          <w:sz w:val="20"/>
          <w:lang w:val="en-GB" w:eastAsia="de-DE"/>
        </w:rPr>
        <w:t xml:space="preserve">the topic </w:t>
      </w:r>
      <w:r w:rsidRPr="00504846" w:rsidR="00737BBC">
        <w:rPr>
          <w:bCs/>
          <w:iCs/>
          <w:sz w:val="20"/>
          <w:lang w:val="en-GB" w:eastAsia="de-DE"/>
        </w:rPr>
        <w:t>with</w:t>
      </w:r>
      <w:r w:rsidRPr="00504846" w:rsidR="008E3096">
        <w:rPr>
          <w:bCs/>
          <w:iCs/>
          <w:sz w:val="20"/>
          <w:lang w:val="en-GB" w:eastAsia="de-DE"/>
        </w:rPr>
        <w:t xml:space="preserve"> guidance given by teacher meanwhile.</w:t>
      </w:r>
      <w:r w:rsidRPr="00504846" w:rsidR="00737BBC">
        <w:rPr>
          <w:bCs/>
          <w:iCs/>
          <w:sz w:val="20"/>
          <w:lang w:val="en-GB" w:eastAsia="de-DE"/>
        </w:rPr>
        <w:t xml:space="preserve"> During the lesson, teacher requested students to propose some authentic workplace environment which requires in-depth hygiene monitoring. An interactive and student-led learning atmosphere were established during lesson.</w:t>
      </w:r>
    </w:p>
    <w:p w:rsidRPr="00504846" w:rsidR="00A94A51" w:rsidRDefault="00737BBC" w14:paraId="30C33776" w14:textId="2D4BDFBB">
      <w:pPr>
        <w:pStyle w:val="a4"/>
        <w:ind w:firstLine="284"/>
        <w:jc w:val="both"/>
        <w:rPr>
          <w:rFonts w:ascii="Times New Roman" w:hAnsi="Times New Roman"/>
          <w:lang w:val="en-GB"/>
        </w:rPr>
      </w:pPr>
      <w:bookmarkStart w:name="OLE_LINK1" w:id="0"/>
      <w:r w:rsidRPr="00504846">
        <w:rPr>
          <w:rFonts w:ascii="Times New Roman" w:hAnsi="Times New Roman"/>
          <w:lang w:val="en-GB"/>
        </w:rPr>
        <w:t xml:space="preserve">Based on the feasible </w:t>
      </w:r>
      <w:r w:rsidRPr="00504846" w:rsidR="0029696B">
        <w:rPr>
          <w:rFonts w:ascii="Times New Roman" w:hAnsi="Times New Roman"/>
          <w:lang w:val="en-GB"/>
        </w:rPr>
        <w:t>ide</w:t>
      </w:r>
      <w:r w:rsidR="0029696B">
        <w:rPr>
          <w:rFonts w:ascii="Times New Roman" w:hAnsi="Times New Roman"/>
          <w:lang w:val="en-GB"/>
        </w:rPr>
        <w:t>a</w:t>
      </w:r>
      <w:r w:rsidRPr="00504846" w:rsidR="0029696B">
        <w:rPr>
          <w:rFonts w:ascii="Times New Roman" w:hAnsi="Times New Roman"/>
          <w:lang w:val="en-GB"/>
        </w:rPr>
        <w:t>s</w:t>
      </w:r>
      <w:r w:rsidRPr="00504846">
        <w:rPr>
          <w:rFonts w:ascii="Times New Roman" w:hAnsi="Times New Roman"/>
          <w:lang w:val="en-GB"/>
        </w:rPr>
        <w:t xml:space="preserve"> obtained from the discussion session, students were required to complete a proposal. Several possible workplace scenarios with available monitoring </w:t>
      </w:r>
      <w:r w:rsidRPr="00504846" w:rsidR="0029696B">
        <w:rPr>
          <w:rFonts w:ascii="Times New Roman" w:hAnsi="Times New Roman"/>
          <w:lang w:val="en-GB"/>
        </w:rPr>
        <w:t>instrument</w:t>
      </w:r>
      <w:r w:rsidRPr="00504846">
        <w:rPr>
          <w:rFonts w:ascii="Times New Roman" w:hAnsi="Times New Roman"/>
          <w:lang w:val="en-GB"/>
        </w:rPr>
        <w:t xml:space="preserve"> were given to students to ch</w:t>
      </w:r>
      <w:r w:rsidRPr="00504846" w:rsidR="00224882">
        <w:rPr>
          <w:rFonts w:ascii="Times New Roman" w:hAnsi="Times New Roman"/>
          <w:lang w:val="en-GB"/>
        </w:rPr>
        <w:t xml:space="preserve">oose from (Table 1). Students had to match the suitable instrument </w:t>
      </w:r>
      <w:r w:rsidRPr="00504846" w:rsidR="008377CA">
        <w:rPr>
          <w:rFonts w:ascii="Times New Roman" w:hAnsi="Times New Roman"/>
          <w:lang w:val="en-GB"/>
        </w:rPr>
        <w:t>with</w:t>
      </w:r>
      <w:r w:rsidRPr="00504846" w:rsidR="00224882">
        <w:rPr>
          <w:rFonts w:ascii="Times New Roman" w:hAnsi="Times New Roman"/>
          <w:lang w:val="en-GB"/>
        </w:rPr>
        <w:t xml:space="preserve"> workplace scenarios. The proposal required students to provide background information, sampling and measurement plan and brief working principle of selected instrument.</w:t>
      </w:r>
      <w:r w:rsidRPr="00504846" w:rsidR="005D50E0">
        <w:rPr>
          <w:rFonts w:ascii="Times New Roman" w:hAnsi="Times New Roman"/>
          <w:lang w:val="en-GB"/>
        </w:rPr>
        <w:t xml:space="preserve"> At the same time, teacher had given a brief lesson on sampling strategies and theory and operation of </w:t>
      </w:r>
      <w:r w:rsidRPr="00504846" w:rsidR="0029696B">
        <w:rPr>
          <w:rFonts w:ascii="Times New Roman" w:hAnsi="Times New Roman"/>
          <w:lang w:val="en-GB"/>
        </w:rPr>
        <w:t>instruments</w:t>
      </w:r>
      <w:r w:rsidRPr="00504846" w:rsidR="005D50E0">
        <w:rPr>
          <w:rFonts w:ascii="Times New Roman" w:hAnsi="Times New Roman"/>
          <w:lang w:val="en-GB"/>
        </w:rPr>
        <w:t>.</w:t>
      </w:r>
      <w:r w:rsidRPr="00504846" w:rsidR="00CA3887">
        <w:rPr>
          <w:rFonts w:ascii="Times New Roman" w:hAnsi="Times New Roman"/>
          <w:lang w:val="en-GB"/>
        </w:rPr>
        <w:t xml:space="preserve"> For example, heat stress monitor and sound level meter quantify wet-bulb globe temperature (WBGT) and workplace noise level respectively. Anemometer measures the flowrate of hoods or ducts which reflect their efficiency. Formaldehyde meter and TVOC meter provide useful parameters for monitoring the indoor air </w:t>
      </w:r>
      <w:r w:rsidRPr="00504846" w:rsidR="00CA3887">
        <w:rPr>
          <w:rFonts w:ascii="Times New Roman" w:hAnsi="Times New Roman"/>
          <w:lang w:val="en-GB"/>
        </w:rPr>
        <w:t>quality (IAQ)</w:t>
      </w:r>
      <w:r w:rsidRPr="00504846" w:rsidR="0030310E">
        <w:rPr>
          <w:rFonts w:ascii="Times New Roman" w:hAnsi="Times New Roman"/>
          <w:lang w:val="en-GB"/>
        </w:rPr>
        <w:t>.</w:t>
      </w:r>
      <w:r w:rsidRPr="00504846" w:rsidR="00F13323">
        <w:rPr>
          <w:rFonts w:ascii="Times New Roman" w:hAnsi="Times New Roman"/>
          <w:lang w:val="en-GB"/>
        </w:rPr>
        <w:t xml:space="preserve"> These workplace scenarios and instrument were chosen because they could truly reflect the needs of hygiene monitoring for the industry in Hong Kong.</w:t>
      </w:r>
    </w:p>
    <w:p w:rsidRPr="00504846" w:rsidR="00224882" w:rsidP="00224882" w:rsidRDefault="00224882" w14:paraId="5B557615" w14:textId="77777777">
      <w:pPr>
        <w:pStyle w:val="a4"/>
        <w:jc w:val="both"/>
        <w:rPr>
          <w:rFonts w:ascii="Times New Roman" w:hAnsi="Times New Roman"/>
          <w:lang w:val="en-GB"/>
        </w:rPr>
      </w:pPr>
    </w:p>
    <w:p w:rsidRPr="00504846" w:rsidR="00224882" w:rsidP="00224882" w:rsidRDefault="00224882" w14:paraId="51D60258" w14:textId="77CA486A">
      <w:pPr>
        <w:pStyle w:val="a4"/>
        <w:jc w:val="both"/>
        <w:rPr>
          <w:rFonts w:ascii="Times New Roman" w:hAnsi="Times New Roman"/>
          <w:lang w:val="en-GB"/>
        </w:rPr>
      </w:pPr>
      <w:r w:rsidRPr="00504846">
        <w:rPr>
          <w:rFonts w:ascii="Times New Roman" w:hAnsi="Times New Roman"/>
          <w:lang w:val="en-GB"/>
        </w:rPr>
        <w:t xml:space="preserve">Table 1. Choices of workplace scenarios and available </w:t>
      </w:r>
      <w:r w:rsidRPr="00504846" w:rsidR="0029696B">
        <w:rPr>
          <w:rFonts w:ascii="Times New Roman" w:hAnsi="Times New Roman"/>
          <w:lang w:val="en-GB"/>
        </w:rPr>
        <w:t>monitoring</w:t>
      </w:r>
      <w:r w:rsidRPr="00504846">
        <w:rPr>
          <w:rFonts w:ascii="Times New Roman" w:hAnsi="Times New Roman"/>
          <w:lang w:val="en-GB"/>
        </w:rPr>
        <w:t xml:space="preserve"> instrument.</w:t>
      </w:r>
    </w:p>
    <w:p w:rsidRPr="00504846" w:rsidR="00224882" w:rsidP="00224882" w:rsidRDefault="00224882" w14:paraId="4B2F1D72" w14:textId="77777777">
      <w:pPr>
        <w:pStyle w:val="a4"/>
        <w:jc w:val="both"/>
        <w:rPr>
          <w:rFonts w:ascii="Times New Roman" w:hAnsi="Times New Roman"/>
          <w:lang w:val="en-GB"/>
        </w:rPr>
      </w:pPr>
    </w:p>
    <w:tbl>
      <w:tblPr>
        <w:tblStyle w:val="ac"/>
        <w:tblW w:w="0" w:type="auto"/>
        <w:tblLook w:val="04A0" w:firstRow="1" w:lastRow="0" w:firstColumn="1" w:lastColumn="0" w:noHBand="0" w:noVBand="1"/>
      </w:tblPr>
      <w:tblGrid>
        <w:gridCol w:w="2262"/>
        <w:gridCol w:w="2263"/>
      </w:tblGrid>
      <w:tr w:rsidRPr="00504846" w:rsidR="00224882" w:rsidTr="00224882" w14:paraId="6445C507" w14:textId="77777777">
        <w:tc>
          <w:tcPr>
            <w:tcW w:w="2262" w:type="dxa"/>
            <w:vAlign w:val="center"/>
          </w:tcPr>
          <w:p w:rsidRPr="00504846" w:rsidR="00224882" w:rsidP="00224882" w:rsidRDefault="00224882" w14:paraId="02E7971D" w14:textId="0A5D9B68">
            <w:pPr>
              <w:pStyle w:val="a4"/>
              <w:jc w:val="center"/>
              <w:rPr>
                <w:rFonts w:ascii="Times New Roman" w:hAnsi="Times New Roman" w:eastAsia="新細明體"/>
                <w:b/>
                <w:lang w:val="en-GB" w:eastAsia="zh-TW"/>
              </w:rPr>
            </w:pPr>
            <w:r w:rsidRPr="00504846">
              <w:rPr>
                <w:rFonts w:ascii="Times New Roman" w:hAnsi="Times New Roman" w:eastAsia="新細明體"/>
                <w:b/>
                <w:lang w:val="en-GB" w:eastAsia="zh-TW"/>
              </w:rPr>
              <w:t>Possible Workplace Scenarios</w:t>
            </w:r>
          </w:p>
        </w:tc>
        <w:tc>
          <w:tcPr>
            <w:tcW w:w="2263" w:type="dxa"/>
            <w:vAlign w:val="center"/>
          </w:tcPr>
          <w:p w:rsidRPr="00504846" w:rsidR="00224882" w:rsidP="00224882" w:rsidRDefault="00224882" w14:paraId="099CED3C" w14:textId="425BBB24">
            <w:pPr>
              <w:pStyle w:val="a4"/>
              <w:jc w:val="center"/>
              <w:rPr>
                <w:rFonts w:ascii="Times New Roman" w:hAnsi="Times New Roman" w:eastAsia="新細明體"/>
                <w:b/>
                <w:lang w:val="en-GB" w:eastAsia="zh-TW"/>
              </w:rPr>
            </w:pPr>
            <w:r w:rsidRPr="00504846">
              <w:rPr>
                <w:rFonts w:ascii="Times New Roman" w:hAnsi="Times New Roman" w:eastAsia="新細明體"/>
                <w:b/>
                <w:lang w:val="en-GB" w:eastAsia="zh-TW"/>
              </w:rPr>
              <w:t>Available Instruments</w:t>
            </w:r>
          </w:p>
        </w:tc>
      </w:tr>
      <w:tr w:rsidRPr="00504846" w:rsidR="00224882" w:rsidTr="00224882" w14:paraId="1B0C0C06" w14:textId="77777777">
        <w:tc>
          <w:tcPr>
            <w:tcW w:w="2262" w:type="dxa"/>
          </w:tcPr>
          <w:p w:rsidRPr="00504846" w:rsidR="00224882" w:rsidP="00224882" w:rsidRDefault="00224882" w14:paraId="3C50938C" w14:textId="77777777">
            <w:pPr>
              <w:pStyle w:val="a4"/>
              <w:jc w:val="both"/>
              <w:rPr>
                <w:rFonts w:ascii="Times New Roman" w:hAnsi="Times New Roman"/>
                <w:lang w:val="en-GB"/>
              </w:rPr>
            </w:pPr>
            <w:r w:rsidRPr="00504846">
              <w:rPr>
                <w:rFonts w:ascii="Times New Roman" w:hAnsi="Times New Roman"/>
                <w:lang w:val="en-GB"/>
              </w:rPr>
              <w:t>1.</w:t>
            </w:r>
            <w:r w:rsidRPr="00504846">
              <w:rPr>
                <w:rFonts w:ascii="Times New Roman" w:hAnsi="Times New Roman"/>
                <w:lang w:val="en-GB"/>
              </w:rPr>
              <w:tab/>
            </w:r>
            <w:r w:rsidRPr="00504846">
              <w:rPr>
                <w:rFonts w:ascii="Times New Roman" w:hAnsi="Times New Roman"/>
                <w:lang w:val="en-GB"/>
              </w:rPr>
              <w:t>A chemical testing laboratory with several fume hoods in operation.</w:t>
            </w:r>
          </w:p>
          <w:p w:rsidRPr="00504846" w:rsidR="00224882" w:rsidP="00224882" w:rsidRDefault="00224882" w14:paraId="7A393999" w14:textId="77777777">
            <w:pPr>
              <w:pStyle w:val="a4"/>
              <w:jc w:val="both"/>
              <w:rPr>
                <w:rFonts w:ascii="Times New Roman" w:hAnsi="Times New Roman"/>
                <w:lang w:val="en-GB"/>
              </w:rPr>
            </w:pPr>
            <w:r w:rsidRPr="00504846">
              <w:rPr>
                <w:rFonts w:ascii="Times New Roman" w:hAnsi="Times New Roman"/>
                <w:lang w:val="en-GB"/>
              </w:rPr>
              <w:t>2.</w:t>
            </w:r>
            <w:r w:rsidRPr="00504846">
              <w:rPr>
                <w:rFonts w:ascii="Times New Roman" w:hAnsi="Times New Roman"/>
                <w:lang w:val="en-GB"/>
              </w:rPr>
              <w:tab/>
            </w:r>
            <w:r w:rsidRPr="00504846">
              <w:rPr>
                <w:rFonts w:ascii="Times New Roman" w:hAnsi="Times New Roman"/>
                <w:lang w:val="en-GB"/>
              </w:rPr>
              <w:t>Indoor &amp; outdoor areas where several steam generators in operation.</w:t>
            </w:r>
          </w:p>
          <w:p w:rsidRPr="00504846" w:rsidR="00224882" w:rsidP="00224882" w:rsidRDefault="00224882" w14:paraId="00639753" w14:textId="77777777">
            <w:pPr>
              <w:pStyle w:val="a4"/>
              <w:jc w:val="both"/>
              <w:rPr>
                <w:rFonts w:ascii="Times New Roman" w:hAnsi="Times New Roman"/>
                <w:lang w:val="en-GB"/>
              </w:rPr>
            </w:pPr>
            <w:r w:rsidRPr="00504846">
              <w:rPr>
                <w:rFonts w:ascii="Times New Roman" w:hAnsi="Times New Roman"/>
                <w:lang w:val="en-GB"/>
              </w:rPr>
              <w:t>3.</w:t>
            </w:r>
            <w:r w:rsidRPr="00504846">
              <w:rPr>
                <w:rFonts w:ascii="Times New Roman" w:hAnsi="Times New Roman"/>
                <w:lang w:val="en-GB"/>
              </w:rPr>
              <w:tab/>
            </w:r>
            <w:r w:rsidRPr="00504846">
              <w:rPr>
                <w:rFonts w:ascii="Times New Roman" w:hAnsi="Times New Roman"/>
                <w:lang w:val="en-GB"/>
              </w:rPr>
              <w:t>A factory where several heavy manufacturing machineries in operation.</w:t>
            </w:r>
          </w:p>
          <w:p w:rsidRPr="00504846" w:rsidR="00224882" w:rsidP="00224882" w:rsidRDefault="00224882" w14:paraId="07B0FEA2" w14:textId="77777777">
            <w:pPr>
              <w:pStyle w:val="a4"/>
              <w:jc w:val="both"/>
              <w:rPr>
                <w:rFonts w:ascii="Times New Roman" w:hAnsi="Times New Roman"/>
                <w:lang w:val="en-GB"/>
              </w:rPr>
            </w:pPr>
            <w:r w:rsidRPr="00504846">
              <w:rPr>
                <w:rFonts w:ascii="Times New Roman" w:hAnsi="Times New Roman"/>
                <w:lang w:val="en-GB"/>
              </w:rPr>
              <w:t>4.</w:t>
            </w:r>
            <w:r w:rsidRPr="00504846">
              <w:rPr>
                <w:rFonts w:ascii="Times New Roman" w:hAnsi="Times New Roman"/>
                <w:lang w:val="en-GB"/>
              </w:rPr>
              <w:tab/>
            </w:r>
            <w:r w:rsidRPr="00504846">
              <w:rPr>
                <w:rFonts w:ascii="Times New Roman" w:hAnsi="Times New Roman"/>
                <w:lang w:val="en-GB"/>
              </w:rPr>
              <w:t>An indoor space where painting work using latex paint and thinner in operation.</w:t>
            </w:r>
          </w:p>
          <w:p w:rsidRPr="00504846" w:rsidR="00224882" w:rsidP="00224882" w:rsidRDefault="00224882" w14:paraId="63A49125" w14:textId="2C25382A">
            <w:pPr>
              <w:pStyle w:val="a4"/>
              <w:jc w:val="both"/>
              <w:rPr>
                <w:rFonts w:ascii="Times New Roman" w:hAnsi="Times New Roman"/>
                <w:lang w:val="en-GB"/>
              </w:rPr>
            </w:pPr>
            <w:r w:rsidRPr="00504846">
              <w:rPr>
                <w:rFonts w:ascii="Times New Roman" w:hAnsi="Times New Roman"/>
                <w:lang w:val="en-GB"/>
              </w:rPr>
              <w:t>5.</w:t>
            </w:r>
            <w:r w:rsidRPr="00504846">
              <w:rPr>
                <w:rFonts w:ascii="Times New Roman" w:hAnsi="Times New Roman"/>
                <w:lang w:val="en-GB"/>
              </w:rPr>
              <w:tab/>
            </w:r>
            <w:r w:rsidRPr="00504846">
              <w:rPr>
                <w:rFonts w:ascii="Times New Roman" w:hAnsi="Times New Roman"/>
                <w:lang w:val="en-GB"/>
              </w:rPr>
              <w:t>A manufacturing area where production of adhesives of furniture in operation</w:t>
            </w:r>
          </w:p>
        </w:tc>
        <w:tc>
          <w:tcPr>
            <w:tcW w:w="2263" w:type="dxa"/>
          </w:tcPr>
          <w:p w:rsidRPr="00504846" w:rsidR="00224882" w:rsidP="00224882" w:rsidRDefault="00224882" w14:paraId="6604CF67" w14:textId="77777777">
            <w:pPr>
              <w:pStyle w:val="a4"/>
              <w:numPr>
                <w:ilvl w:val="0"/>
                <w:numId w:val="4"/>
              </w:numPr>
              <w:jc w:val="both"/>
              <w:rPr>
                <w:rFonts w:ascii="Times New Roman" w:hAnsi="Times New Roman"/>
                <w:lang w:val="en-GB"/>
              </w:rPr>
            </w:pPr>
            <w:r w:rsidRPr="00504846">
              <w:rPr>
                <w:rFonts w:ascii="Times New Roman" w:hAnsi="Times New Roman"/>
                <w:lang w:val="en-GB"/>
              </w:rPr>
              <w:t>Heat Stress Monitor</w:t>
            </w:r>
          </w:p>
          <w:p w:rsidRPr="00504846" w:rsidR="00224882" w:rsidP="00224882" w:rsidRDefault="00224882" w14:paraId="55E936F6" w14:textId="64067008">
            <w:pPr>
              <w:pStyle w:val="a4"/>
              <w:numPr>
                <w:ilvl w:val="0"/>
                <w:numId w:val="4"/>
              </w:numPr>
              <w:jc w:val="both"/>
              <w:rPr>
                <w:rFonts w:ascii="Times New Roman" w:hAnsi="Times New Roman"/>
                <w:lang w:val="en-GB"/>
              </w:rPr>
            </w:pPr>
            <w:r w:rsidRPr="00504846">
              <w:rPr>
                <w:rFonts w:ascii="Times New Roman" w:hAnsi="Times New Roman"/>
                <w:lang w:val="en-GB"/>
              </w:rPr>
              <w:t>Anemometer</w:t>
            </w:r>
          </w:p>
          <w:p w:rsidRPr="00504846" w:rsidR="00224882" w:rsidP="00224882" w:rsidRDefault="00224882" w14:paraId="6EEE634A" w14:textId="5E481430">
            <w:pPr>
              <w:pStyle w:val="a4"/>
              <w:numPr>
                <w:ilvl w:val="0"/>
                <w:numId w:val="4"/>
              </w:numPr>
              <w:jc w:val="both"/>
              <w:rPr>
                <w:rFonts w:ascii="Times New Roman" w:hAnsi="Times New Roman"/>
                <w:lang w:val="en-GB"/>
              </w:rPr>
            </w:pPr>
            <w:r w:rsidRPr="00504846">
              <w:rPr>
                <w:rFonts w:ascii="Times New Roman" w:hAnsi="Times New Roman"/>
                <w:lang w:val="en-GB"/>
              </w:rPr>
              <w:t>Formaldehyde Meter</w:t>
            </w:r>
          </w:p>
          <w:p w:rsidRPr="00504846" w:rsidR="00224882" w:rsidP="00224882" w:rsidRDefault="00224882" w14:paraId="4A640B9D" w14:textId="2C454761">
            <w:pPr>
              <w:pStyle w:val="a4"/>
              <w:numPr>
                <w:ilvl w:val="0"/>
                <w:numId w:val="4"/>
              </w:numPr>
              <w:jc w:val="both"/>
              <w:rPr>
                <w:rFonts w:ascii="Times New Roman" w:hAnsi="Times New Roman"/>
                <w:lang w:val="en-GB"/>
              </w:rPr>
            </w:pPr>
            <w:r w:rsidRPr="00504846">
              <w:rPr>
                <w:rFonts w:ascii="Times New Roman" w:hAnsi="Times New Roman"/>
                <w:lang w:val="en-GB"/>
              </w:rPr>
              <w:t>Sound Level Meter</w:t>
            </w:r>
          </w:p>
          <w:p w:rsidRPr="00504846" w:rsidR="00224882" w:rsidP="00224882" w:rsidRDefault="00224882" w14:paraId="3B6133C6" w14:textId="377AC908">
            <w:pPr>
              <w:pStyle w:val="a4"/>
              <w:numPr>
                <w:ilvl w:val="0"/>
                <w:numId w:val="4"/>
              </w:numPr>
              <w:jc w:val="both"/>
              <w:rPr>
                <w:rFonts w:ascii="Times New Roman" w:hAnsi="Times New Roman"/>
                <w:lang w:val="en-GB"/>
              </w:rPr>
            </w:pPr>
            <w:r w:rsidRPr="00504846">
              <w:rPr>
                <w:rFonts w:ascii="Times New Roman" w:hAnsi="Times New Roman"/>
                <w:lang w:val="en-GB"/>
              </w:rPr>
              <w:t>TVOC Meter</w:t>
            </w:r>
          </w:p>
        </w:tc>
      </w:tr>
    </w:tbl>
    <w:p w:rsidRPr="00504846" w:rsidR="00224882" w:rsidP="00224882" w:rsidRDefault="00224882" w14:paraId="71D73ACA" w14:textId="77777777">
      <w:pPr>
        <w:pStyle w:val="a4"/>
        <w:jc w:val="both"/>
        <w:rPr>
          <w:rFonts w:ascii="Times New Roman" w:hAnsi="Times New Roman"/>
          <w:lang w:val="en-GB" w:eastAsia="ja-JP"/>
        </w:rPr>
      </w:pPr>
    </w:p>
    <w:bookmarkEnd w:id="0"/>
    <w:p w:rsidRPr="00504846" w:rsidR="00A94A51" w:rsidRDefault="00D37D29" w14:paraId="645BC8F8" w14:textId="04CC05A6">
      <w:pPr>
        <w:pStyle w:val="a4"/>
        <w:ind w:firstLine="284"/>
        <w:jc w:val="both"/>
        <w:rPr>
          <w:rFonts w:ascii="Times New Roman" w:hAnsi="Times New Roman"/>
          <w:lang w:val="en-GB"/>
        </w:rPr>
      </w:pPr>
      <w:r w:rsidRPr="00504846">
        <w:rPr>
          <w:rFonts w:ascii="Times New Roman" w:hAnsi="Times New Roman"/>
          <w:lang w:val="en-GB"/>
        </w:rPr>
        <w:t>Meanwhile, teacher arranged five practical sessions to familiarize students with the scenarios listed in Table 1 and allowed them to have a hand-on experience in operating the instrument.</w:t>
      </w:r>
      <w:r w:rsidRPr="00504846" w:rsidR="00771C53">
        <w:rPr>
          <w:rFonts w:ascii="Times New Roman" w:hAnsi="Times New Roman"/>
          <w:lang w:val="en-GB"/>
        </w:rPr>
        <w:t xml:space="preserve"> During the session, students worked in group to think of the measurement flow. The problem-solving skills resembles the steps of scientific research and involves a research approach (Sari et al., 2019; Tambunan, 2019). After each session, students needed to hand in a report summarizing the findings and data treatment. This simulated the workplace assessment report across the industry.</w:t>
      </w:r>
    </w:p>
    <w:p w:rsidRPr="00504846" w:rsidR="00A94A51" w:rsidRDefault="00842BC5" w14:paraId="0BE9C1F7" w14:textId="3A065390">
      <w:pPr>
        <w:pStyle w:val="a4"/>
        <w:ind w:firstLine="284"/>
        <w:jc w:val="both"/>
        <w:rPr>
          <w:rFonts w:ascii="Times New Roman" w:hAnsi="Times New Roman"/>
          <w:lang w:val="en-GB"/>
        </w:rPr>
      </w:pPr>
      <w:r w:rsidRPr="00504846">
        <w:rPr>
          <w:rFonts w:ascii="Times New Roman" w:hAnsi="Times New Roman"/>
          <w:lang w:val="en-GB"/>
        </w:rPr>
        <w:t xml:space="preserve">The performance of students </w:t>
      </w:r>
      <w:r w:rsidRPr="00504846" w:rsidR="0029696B">
        <w:rPr>
          <w:rFonts w:ascii="Times New Roman" w:hAnsi="Times New Roman"/>
          <w:lang w:val="en-GB"/>
        </w:rPr>
        <w:t>was</w:t>
      </w:r>
      <w:r w:rsidRPr="00504846">
        <w:rPr>
          <w:rFonts w:ascii="Times New Roman" w:hAnsi="Times New Roman"/>
          <w:lang w:val="en-GB"/>
        </w:rPr>
        <w:t xml:space="preserve"> closely monitored by continuous assessment and end of semester assessment.</w:t>
      </w:r>
      <w:r w:rsidRPr="00504846" w:rsidR="00E225CD">
        <w:rPr>
          <w:rFonts w:ascii="Times New Roman" w:hAnsi="Times New Roman"/>
          <w:lang w:val="en-GB"/>
        </w:rPr>
        <w:t xml:space="preserve"> Continuous assessment includes group progress assessment evaluated by the teacher on collaboration skills, responsibility skills and communication skills</w:t>
      </w:r>
      <w:r w:rsidRPr="00504846" w:rsidR="00855738">
        <w:rPr>
          <w:rFonts w:ascii="Times New Roman" w:hAnsi="Times New Roman"/>
          <w:lang w:val="en-GB"/>
        </w:rPr>
        <w:t>. End of semester assessment includes student demonstration on the operation of instrument and data treatment and analysis.</w:t>
      </w:r>
      <w:r w:rsidRPr="00504846" w:rsidR="00516218">
        <w:rPr>
          <w:rFonts w:ascii="Times New Roman" w:hAnsi="Times New Roman"/>
          <w:lang w:val="en-GB"/>
        </w:rPr>
        <w:t xml:space="preserve"> Students will be assessed based on their technical skills such as instrumental preparation, sampling techniques and data analysis.</w:t>
      </w:r>
    </w:p>
    <w:p w:rsidRPr="00504846" w:rsidR="007B7F1B" w:rsidP="002F5C4C" w:rsidRDefault="00C81B35" w14:paraId="576D462D" w14:textId="612943CA">
      <w:pPr>
        <w:pStyle w:val="a4"/>
        <w:ind w:firstLine="284"/>
        <w:jc w:val="both"/>
        <w:rPr>
          <w:rFonts w:ascii="Times New Roman" w:hAnsi="Times New Roman"/>
          <w:lang w:val="en-GB"/>
        </w:rPr>
      </w:pPr>
      <w:r w:rsidRPr="00504846">
        <w:rPr>
          <w:rFonts w:ascii="Times New Roman" w:hAnsi="Times New Roman"/>
          <w:lang w:val="en-GB"/>
        </w:rPr>
        <w:t>Finally, students were required to complete a feedback and reflective journal. A simple questionnaire was sent to industry partner for their feedbacks.</w:t>
      </w:r>
    </w:p>
    <w:p w:rsidRPr="00504846" w:rsidR="007B7F1B" w:rsidRDefault="007B7F1B" w14:paraId="4B94D5A5" w14:textId="77777777">
      <w:pPr>
        <w:pStyle w:val="a4"/>
        <w:jc w:val="both"/>
        <w:rPr>
          <w:rFonts w:ascii="Times New Roman" w:hAnsi="Times New Roman"/>
          <w:b/>
          <w:lang w:val="en-GB"/>
        </w:rPr>
      </w:pPr>
    </w:p>
    <w:p w:rsidRPr="00504846" w:rsidR="00A94A51" w:rsidRDefault="00A94A51" w14:paraId="687E6680" w14:textId="77777777">
      <w:pPr>
        <w:pStyle w:val="a4"/>
        <w:jc w:val="both"/>
        <w:outlineLvl w:val="0"/>
        <w:rPr>
          <w:rFonts w:ascii="Times New Roman" w:hAnsi="Times New Roman"/>
          <w:b/>
          <w:lang w:val="en-GB"/>
        </w:rPr>
      </w:pPr>
      <w:r w:rsidRPr="00504846">
        <w:rPr>
          <w:rFonts w:ascii="Times New Roman" w:hAnsi="Times New Roman"/>
          <w:b/>
          <w:lang w:val="en-GB"/>
        </w:rPr>
        <w:t>Results and Discussion</w:t>
      </w:r>
    </w:p>
    <w:p w:rsidRPr="00504846" w:rsidR="00A94A51" w:rsidRDefault="00A94A51" w14:paraId="3DEEC669" w14:textId="77777777">
      <w:pPr>
        <w:pStyle w:val="a4"/>
        <w:jc w:val="both"/>
        <w:rPr>
          <w:rFonts w:ascii="Times New Roman" w:hAnsi="Times New Roman"/>
          <w:b/>
          <w:lang w:val="en-GB"/>
        </w:rPr>
      </w:pPr>
    </w:p>
    <w:p w:rsidRPr="00504846" w:rsidR="00A94A51" w:rsidRDefault="00C81B35" w14:paraId="3999D8A8" w14:textId="077E453C">
      <w:pPr>
        <w:pStyle w:val="a4"/>
        <w:ind w:firstLine="284"/>
        <w:jc w:val="both"/>
        <w:rPr>
          <w:rFonts w:ascii="Times New Roman" w:hAnsi="Times New Roman"/>
          <w:lang w:val="en-GB"/>
        </w:rPr>
      </w:pPr>
      <w:r w:rsidRPr="00504846">
        <w:rPr>
          <w:rFonts w:ascii="Times New Roman" w:hAnsi="Times New Roman"/>
          <w:lang w:val="en-GB"/>
        </w:rPr>
        <w:t>The learning effectiveness of PBL approach</w:t>
      </w:r>
      <w:r w:rsidRPr="00504846" w:rsidR="009C6FE5">
        <w:rPr>
          <w:rFonts w:ascii="Times New Roman" w:hAnsi="Times New Roman"/>
          <w:lang w:val="en-GB"/>
        </w:rPr>
        <w:t xml:space="preserve"> on occupational hygiene monitoring was evaluated by </w:t>
      </w:r>
      <w:r w:rsidRPr="00504846" w:rsidR="009C6FE5">
        <w:rPr>
          <w:rFonts w:ascii="Times New Roman" w:hAnsi="Times New Roman"/>
          <w:lang w:val="en-GB"/>
        </w:rPr>
        <w:t>comparing student performance before and after adopting PBL</w:t>
      </w:r>
      <w:r w:rsidRPr="00504846" w:rsidR="00A94A51">
        <w:rPr>
          <w:rFonts w:ascii="Times New Roman" w:hAnsi="Times New Roman"/>
          <w:lang w:val="en-GB"/>
        </w:rPr>
        <w:t>.</w:t>
      </w:r>
      <w:r w:rsidRPr="00504846" w:rsidR="009C6FE5">
        <w:rPr>
          <w:rFonts w:ascii="Times New Roman" w:hAnsi="Times New Roman"/>
          <w:lang w:val="en-GB"/>
        </w:rPr>
        <w:t xml:space="preserve"> </w:t>
      </w:r>
      <w:r w:rsidRPr="00504846" w:rsidR="008261D0">
        <w:rPr>
          <w:rFonts w:ascii="Times New Roman" w:hAnsi="Times New Roman"/>
          <w:lang w:val="en-GB"/>
        </w:rPr>
        <w:t xml:space="preserve">After using PBL approach, students showed significant improvement on final practical demonstration. </w:t>
      </w:r>
      <w:r w:rsidRPr="00504846" w:rsidR="002119E2">
        <w:rPr>
          <w:rFonts w:ascii="Times New Roman" w:hAnsi="Times New Roman"/>
          <w:lang w:val="en-GB"/>
        </w:rPr>
        <w:t>Without using PBL approach, students reported difficulties in understanding the complicated concepts and instrumentation of the monitoring equipment, and therefore in the past the mean score in all assessments was not very high. After the adoption of PBL approach, a</w:t>
      </w:r>
      <w:r w:rsidRPr="00504846" w:rsidR="008261D0">
        <w:rPr>
          <w:rFonts w:ascii="Times New Roman" w:hAnsi="Times New Roman"/>
          <w:lang w:val="en-GB"/>
        </w:rPr>
        <w:t xml:space="preserve"> </w:t>
      </w:r>
      <w:r w:rsidRPr="00504846" w:rsidR="002119E2">
        <w:rPr>
          <w:rFonts w:ascii="Times New Roman" w:hAnsi="Times New Roman"/>
          <w:lang w:val="en-GB"/>
        </w:rPr>
        <w:t>significant</w:t>
      </w:r>
      <w:r w:rsidRPr="00504846" w:rsidR="008261D0">
        <w:rPr>
          <w:rFonts w:ascii="Times New Roman" w:hAnsi="Times New Roman"/>
          <w:lang w:val="en-GB"/>
        </w:rPr>
        <w:t xml:space="preserve"> improvement of student’s mean score was observed.</w:t>
      </w:r>
      <w:r w:rsidRPr="00504846" w:rsidR="00F43C7A">
        <w:rPr>
          <w:rFonts w:ascii="Times New Roman" w:hAnsi="Times New Roman"/>
          <w:lang w:val="en-GB"/>
        </w:rPr>
        <w:t xml:space="preserve"> Through PBL, students could know the theory of different occupational hygiene monitoring techniques. For example, heat stress appears when heat gain is greater than heat loss, inducing a loss of homeostasis and an increase in body temperature (Most and Yates, 2021), finally may cause heat stroke for prolonged exposure. Prolonged exposure to high noise level may cause sensorineural loss, damaging the hair cells in cochlea. </w:t>
      </w:r>
      <w:r w:rsidRPr="00504846" w:rsidR="00504DB7">
        <w:rPr>
          <w:rFonts w:ascii="Times New Roman" w:hAnsi="Times New Roman"/>
          <w:lang w:val="en-GB"/>
        </w:rPr>
        <w:t xml:space="preserve">Students are especially required to measure the workplace noise levels for certain work process in the future such as grinding, pile driving, etc. </w:t>
      </w:r>
      <w:r w:rsidRPr="00504846" w:rsidR="00AF1A04">
        <w:rPr>
          <w:rFonts w:ascii="Times New Roman" w:hAnsi="Times New Roman"/>
          <w:lang w:val="en-GB"/>
        </w:rPr>
        <w:t xml:space="preserve">In Hong Kong, it is mandatory by the Labour Department to carry out noise assessment at the construction sites. Therefore, students should learn to operate the sound level meter and the related theory behind. </w:t>
      </w:r>
      <w:r w:rsidRPr="00504846" w:rsidR="00BB428D">
        <w:rPr>
          <w:rFonts w:ascii="Times New Roman" w:hAnsi="Times New Roman"/>
          <w:lang w:val="en-GB"/>
        </w:rPr>
        <w:t>Besides, e</w:t>
      </w:r>
      <w:r w:rsidRPr="00504846" w:rsidR="00F43C7A">
        <w:rPr>
          <w:rFonts w:ascii="Times New Roman" w:hAnsi="Times New Roman"/>
          <w:lang w:val="en-GB"/>
        </w:rPr>
        <w:t>xcessive exposure to formaldehyde and volatile organic compounds (VOC</w:t>
      </w:r>
      <w:r w:rsidRPr="00504846" w:rsidR="00AF1A04">
        <w:rPr>
          <w:rFonts w:ascii="Times New Roman" w:hAnsi="Times New Roman"/>
          <w:lang w:val="en-GB"/>
        </w:rPr>
        <w:t>s</w:t>
      </w:r>
      <w:r w:rsidRPr="00504846" w:rsidR="00F43C7A">
        <w:rPr>
          <w:rFonts w:ascii="Times New Roman" w:hAnsi="Times New Roman"/>
          <w:lang w:val="en-GB"/>
        </w:rPr>
        <w:t>)</w:t>
      </w:r>
      <w:r w:rsidRPr="00504846" w:rsidR="00504DB7">
        <w:rPr>
          <w:rFonts w:ascii="Times New Roman" w:hAnsi="Times New Roman"/>
          <w:lang w:val="en-GB"/>
        </w:rPr>
        <w:t xml:space="preserve"> may cause irritation in lung airways and even carcinogenic (</w:t>
      </w:r>
      <w:r w:rsidR="000836B1">
        <w:rPr>
          <w:rFonts w:ascii="Times New Roman" w:hAnsi="Times New Roman"/>
          <w:lang w:val="en-GB"/>
        </w:rPr>
        <w:t>Pappas</w:t>
      </w:r>
      <w:r w:rsidRPr="00504846" w:rsidR="00504DB7">
        <w:rPr>
          <w:rFonts w:ascii="Times New Roman" w:hAnsi="Times New Roman"/>
          <w:lang w:val="en-GB"/>
        </w:rPr>
        <w:t xml:space="preserve"> et al., 20</w:t>
      </w:r>
      <w:r w:rsidR="000836B1">
        <w:rPr>
          <w:rFonts w:ascii="Times New Roman" w:hAnsi="Times New Roman"/>
          <w:lang w:val="en-GB"/>
        </w:rPr>
        <w:t>00</w:t>
      </w:r>
      <w:r w:rsidRPr="00504846" w:rsidR="00504DB7">
        <w:rPr>
          <w:rFonts w:ascii="Times New Roman" w:hAnsi="Times New Roman"/>
          <w:lang w:val="en-GB"/>
        </w:rPr>
        <w:t>).</w:t>
      </w:r>
      <w:r w:rsidRPr="00504846" w:rsidR="00AF1A04">
        <w:rPr>
          <w:rFonts w:ascii="Times New Roman" w:hAnsi="Times New Roman"/>
          <w:lang w:val="en-GB"/>
        </w:rPr>
        <w:t xml:space="preserve"> Sources of exposing formaldehyde and VOCs include oil painting, releasing from furniture and carpet, etc. </w:t>
      </w:r>
      <w:r w:rsidRPr="00504846" w:rsidR="00EE3347">
        <w:rPr>
          <w:rFonts w:ascii="Times New Roman" w:hAnsi="Times New Roman"/>
          <w:lang w:val="en-GB"/>
        </w:rPr>
        <w:t xml:space="preserve">Indoor workplace air quality assessment </w:t>
      </w:r>
      <w:r w:rsidRPr="00504846" w:rsidR="005E0EDF">
        <w:rPr>
          <w:rFonts w:ascii="Times New Roman" w:hAnsi="Times New Roman"/>
          <w:lang w:val="en-GB"/>
        </w:rPr>
        <w:t>can protect workers’ health. Occupational hygiene monitoring provides an alternative way to safeguard the health of workers and reduce the number of occupational injuries, thus promoting the public awareness of occupational safety.</w:t>
      </w:r>
    </w:p>
    <w:p w:rsidRPr="00504846" w:rsidR="00400C1B" w:rsidRDefault="00400C1B" w14:paraId="7E702478" w14:textId="21F89009">
      <w:pPr>
        <w:pStyle w:val="a4"/>
        <w:ind w:firstLine="284"/>
        <w:jc w:val="both"/>
        <w:rPr>
          <w:rFonts w:ascii="Times New Roman" w:hAnsi="Times New Roman"/>
          <w:lang w:val="en-GB"/>
        </w:rPr>
      </w:pPr>
      <w:r w:rsidRPr="00504846">
        <w:rPr>
          <w:rFonts w:ascii="Times New Roman" w:hAnsi="Times New Roman"/>
          <w:lang w:val="en-GB"/>
        </w:rPr>
        <w:t xml:space="preserve">For students' feedback, the majority satisfied with the process and outcomes of </w:t>
      </w:r>
      <w:r w:rsidRPr="00504846" w:rsidR="0029696B">
        <w:rPr>
          <w:rFonts w:ascii="Times New Roman" w:hAnsi="Times New Roman"/>
          <w:lang w:val="en-GB"/>
        </w:rPr>
        <w:t>PBL,</w:t>
      </w:r>
      <w:r w:rsidRPr="00504846" w:rsidR="00420544">
        <w:rPr>
          <w:rFonts w:ascii="Times New Roman" w:hAnsi="Times New Roman"/>
          <w:lang w:val="en-GB"/>
        </w:rPr>
        <w:t xml:space="preserve"> and the skills obtained are useful in their future career</w:t>
      </w:r>
      <w:r w:rsidRPr="00504846">
        <w:rPr>
          <w:rFonts w:ascii="Times New Roman" w:hAnsi="Times New Roman"/>
          <w:lang w:val="en-GB"/>
        </w:rPr>
        <w:t xml:space="preserve">, however, some </w:t>
      </w:r>
      <w:r w:rsidRPr="00504846" w:rsidR="00504846">
        <w:rPr>
          <w:rFonts w:ascii="Times New Roman" w:hAnsi="Times New Roman"/>
          <w:lang w:val="en-GB"/>
        </w:rPr>
        <w:t>students</w:t>
      </w:r>
      <w:r w:rsidRPr="00504846">
        <w:rPr>
          <w:rFonts w:ascii="Times New Roman" w:hAnsi="Times New Roman"/>
          <w:lang w:val="en-GB"/>
        </w:rPr>
        <w:t xml:space="preserve"> reflected the difficulties in searching information, planning and writing of the proposal. All students agreed the adoption of PBL approach in occupational hygiene monitoring could effectively help to understand the concepts and instrumental operation theories.</w:t>
      </w:r>
      <w:r w:rsidRPr="00504846" w:rsidR="00D27E6D">
        <w:rPr>
          <w:rFonts w:ascii="Times New Roman" w:hAnsi="Times New Roman"/>
          <w:lang w:val="en-GB"/>
        </w:rPr>
        <w:t xml:space="preserve"> </w:t>
      </w:r>
      <w:r w:rsidR="004C6415">
        <w:rPr>
          <w:rFonts w:ascii="Times New Roman" w:hAnsi="Times New Roman"/>
          <w:lang w:val="en-GB"/>
        </w:rPr>
        <w:t xml:space="preserve">Improved performance on practical skill test confirmed the acquisition of the lifelong skills. </w:t>
      </w:r>
      <w:r w:rsidRPr="00504846" w:rsidR="00D27E6D">
        <w:rPr>
          <w:rFonts w:ascii="Times New Roman" w:hAnsi="Times New Roman"/>
          <w:lang w:val="en-GB"/>
        </w:rPr>
        <w:t>For feedback from industry partner, they agreed that the PBL contents are very related to real world situation and industry linked. They also reported it was not difficult to understand what must be done in PBL project. Overall, ind</w:t>
      </w:r>
      <w:r w:rsidR="004C6415">
        <w:rPr>
          <w:rFonts w:ascii="Times New Roman" w:hAnsi="Times New Roman"/>
          <w:lang w:val="en-GB"/>
        </w:rPr>
        <w:t>u</w:t>
      </w:r>
      <w:r w:rsidRPr="00504846" w:rsidR="00D27E6D">
        <w:rPr>
          <w:rFonts w:ascii="Times New Roman" w:hAnsi="Times New Roman"/>
          <w:lang w:val="en-GB"/>
        </w:rPr>
        <w:t xml:space="preserve">stry partner was satisfied with the performance of the project </w:t>
      </w:r>
      <w:r w:rsidRPr="00504846" w:rsidR="00734192">
        <w:rPr>
          <w:rFonts w:ascii="Times New Roman" w:hAnsi="Times New Roman"/>
          <w:lang w:val="en-GB"/>
        </w:rPr>
        <w:t xml:space="preserve">aims and </w:t>
      </w:r>
      <w:r w:rsidRPr="00504846" w:rsidR="00D27E6D">
        <w:rPr>
          <w:rFonts w:ascii="Times New Roman" w:hAnsi="Times New Roman"/>
          <w:lang w:val="en-GB"/>
        </w:rPr>
        <w:t>outcomes.</w:t>
      </w:r>
    </w:p>
    <w:p w:rsidRPr="00504846" w:rsidR="00117949" w:rsidP="10C41563" w:rsidRDefault="00117949" w14:paraId="4AC12559" w14:textId="3B64D67E">
      <w:pPr>
        <w:pStyle w:val="a4"/>
        <w:ind w:firstLine="284"/>
        <w:jc w:val="both"/>
        <w:rPr>
          <w:rFonts w:ascii="Times New Roman" w:hAnsi="Times New Roman"/>
          <w:lang w:val="en-GB"/>
        </w:rPr>
      </w:pPr>
      <w:r w:rsidRPr="00504846">
        <w:rPr>
          <w:rFonts w:ascii="Times New Roman" w:hAnsi="Times New Roman"/>
          <w:lang w:val="en-GB"/>
        </w:rPr>
        <w:t xml:space="preserve">PBL </w:t>
      </w:r>
      <w:r w:rsidR="0029696B">
        <w:rPr>
          <w:rFonts w:ascii="Times New Roman" w:hAnsi="Times New Roman"/>
          <w:lang w:val="en-GB"/>
        </w:rPr>
        <w:t xml:space="preserve">is </w:t>
      </w:r>
      <w:r w:rsidRPr="00504846" w:rsidR="0029696B">
        <w:rPr>
          <w:rFonts w:ascii="Times New Roman" w:hAnsi="Times New Roman"/>
          <w:lang w:val="en-GB"/>
        </w:rPr>
        <w:t>a</w:t>
      </w:r>
      <w:r w:rsidRPr="00504846">
        <w:rPr>
          <w:rFonts w:ascii="Times New Roman" w:hAnsi="Times New Roman"/>
          <w:lang w:val="en-GB"/>
        </w:rPr>
        <w:t xml:space="preserve"> learner-</w:t>
      </w:r>
      <w:r w:rsidRPr="00504846" w:rsidR="0029696B">
        <w:rPr>
          <w:rFonts w:ascii="Times New Roman" w:hAnsi="Times New Roman"/>
          <w:lang w:val="en-GB"/>
        </w:rPr>
        <w:t>cantered</w:t>
      </w:r>
      <w:r w:rsidRPr="00504846">
        <w:rPr>
          <w:rFonts w:ascii="Times New Roman" w:hAnsi="Times New Roman"/>
          <w:lang w:val="en-GB"/>
        </w:rPr>
        <w:t xml:space="preserve"> approach which engages students in deeper learning by empowering them to learn more related content and various skills in authentic contexts. It was observed from this PBL that it emphasizes on putting students at the </w:t>
      </w:r>
      <w:r w:rsidRPr="00504846" w:rsidR="0029696B">
        <w:rPr>
          <w:rFonts w:ascii="Times New Roman" w:hAnsi="Times New Roman"/>
          <w:lang w:val="en-GB"/>
        </w:rPr>
        <w:t>centre</w:t>
      </w:r>
      <w:r w:rsidRPr="00504846">
        <w:rPr>
          <w:rFonts w:ascii="Times New Roman" w:hAnsi="Times New Roman"/>
          <w:lang w:val="en-GB"/>
        </w:rPr>
        <w:t xml:space="preserve"> and highlighting students’ independent experience, teachers’ roles also shift from more dominating to more facilitating roles. Wang (2022) also pointed out that adopting PBL leads to benefits such as supporting students acquiring content knowledge as well as cultivating students’ cooperation and team spirit.</w:t>
      </w:r>
      <w:r w:rsidRPr="00504846" w:rsidR="49F6823F">
        <w:rPr>
          <w:rFonts w:ascii="Times New Roman" w:hAnsi="Times New Roman"/>
          <w:lang w:val="en-GB"/>
        </w:rPr>
        <w:t xml:space="preserve"> From the classroom observation, teacher discovered that students were eager </w:t>
      </w:r>
      <w:r w:rsidRPr="00504846" w:rsidR="49F6823F">
        <w:rPr>
          <w:rFonts w:ascii="Times New Roman" w:hAnsi="Times New Roman"/>
          <w:lang w:val="en-GB"/>
        </w:rPr>
        <w:t>to raise questions regarding the</w:t>
      </w:r>
      <w:r w:rsidRPr="00504846" w:rsidR="293D4DD8">
        <w:rPr>
          <w:rFonts w:ascii="Times New Roman" w:hAnsi="Times New Roman"/>
          <w:lang w:val="en-GB"/>
        </w:rPr>
        <w:t xml:space="preserve"> technical skills</w:t>
      </w:r>
      <w:r w:rsidRPr="00504846" w:rsidR="34E90B4B">
        <w:rPr>
          <w:rFonts w:ascii="Times New Roman" w:hAnsi="Times New Roman"/>
          <w:lang w:val="en-GB"/>
        </w:rPr>
        <w:t xml:space="preserve">. The learning atmosphere was also improved since students became a </w:t>
      </w:r>
      <w:r w:rsidRPr="00504846" w:rsidR="1CB3362E">
        <w:rPr>
          <w:rFonts w:ascii="Times New Roman" w:hAnsi="Times New Roman"/>
          <w:lang w:val="en-GB"/>
        </w:rPr>
        <w:t>key role throughout the whole learning process.</w:t>
      </w:r>
      <w:r w:rsidRPr="00504846" w:rsidR="5DD7B5C6">
        <w:rPr>
          <w:rFonts w:ascii="Times New Roman" w:hAnsi="Times New Roman"/>
          <w:lang w:val="en-GB"/>
        </w:rPr>
        <w:t xml:space="preserve"> Besides, students were able to apply what they read and </w:t>
      </w:r>
      <w:r w:rsidRPr="00504846" w:rsidR="0029696B">
        <w:rPr>
          <w:rFonts w:ascii="Times New Roman" w:hAnsi="Times New Roman"/>
          <w:lang w:val="en-GB"/>
        </w:rPr>
        <w:t>analyse</w:t>
      </w:r>
      <w:r w:rsidRPr="00504846" w:rsidR="5DD7B5C6">
        <w:rPr>
          <w:rFonts w:ascii="Times New Roman" w:hAnsi="Times New Roman"/>
          <w:lang w:val="en-GB"/>
        </w:rPr>
        <w:t xml:space="preserve"> the workplace scenarios in connection with what happened in the real world.</w:t>
      </w:r>
      <w:r w:rsidRPr="00504846" w:rsidR="0398E0B7">
        <w:rPr>
          <w:rFonts w:ascii="Times New Roman" w:hAnsi="Times New Roman"/>
          <w:lang w:val="en-GB"/>
        </w:rPr>
        <w:t xml:space="preserve"> Therefore, PBL can be used as an effective approach to develop students’ critical thinking development</w:t>
      </w:r>
      <w:r w:rsidRPr="00504846" w:rsidR="66B574BB">
        <w:rPr>
          <w:rFonts w:ascii="Times New Roman" w:hAnsi="Times New Roman"/>
          <w:lang w:val="en-GB"/>
        </w:rPr>
        <w:t xml:space="preserve"> which is an essential soft skill in their future work.</w:t>
      </w:r>
    </w:p>
    <w:p w:rsidRPr="00504846" w:rsidR="00E11BC7" w:rsidRDefault="00E11BC7" w14:paraId="3656B9AB" w14:textId="77777777">
      <w:pPr>
        <w:pStyle w:val="a4"/>
        <w:jc w:val="both"/>
        <w:rPr>
          <w:rFonts w:ascii="Times New Roman" w:hAnsi="Times New Roman"/>
          <w:lang w:val="en-GB"/>
        </w:rPr>
      </w:pPr>
    </w:p>
    <w:p w:rsidRPr="00504846" w:rsidR="00A94A51" w:rsidRDefault="00A94A51" w14:paraId="3CB7D8A9" w14:textId="77777777">
      <w:pPr>
        <w:pStyle w:val="a4"/>
        <w:jc w:val="both"/>
        <w:outlineLvl w:val="0"/>
        <w:rPr>
          <w:rFonts w:ascii="Times New Roman" w:hAnsi="Times New Roman"/>
          <w:b/>
          <w:lang w:val="en-GB"/>
        </w:rPr>
      </w:pPr>
      <w:r w:rsidRPr="00504846">
        <w:rPr>
          <w:rFonts w:ascii="Times New Roman" w:hAnsi="Times New Roman"/>
          <w:b/>
          <w:lang w:val="en-GB"/>
        </w:rPr>
        <w:t>Conclusions</w:t>
      </w:r>
    </w:p>
    <w:p w:rsidRPr="00504846" w:rsidR="00A94A51" w:rsidRDefault="00A94A51" w14:paraId="62486C05" w14:textId="77777777">
      <w:pPr>
        <w:pStyle w:val="a4"/>
        <w:jc w:val="both"/>
        <w:rPr>
          <w:rFonts w:ascii="Times New Roman" w:hAnsi="Times New Roman"/>
          <w:lang w:val="en-GB"/>
        </w:rPr>
      </w:pPr>
    </w:p>
    <w:p w:rsidRPr="00E06FAA" w:rsidR="00A94A51" w:rsidRDefault="001D545D" w14:paraId="52A2CF41" w14:textId="638F1047">
      <w:pPr>
        <w:pStyle w:val="a4"/>
        <w:ind w:firstLine="284"/>
        <w:jc w:val="both"/>
        <w:rPr>
          <w:rFonts w:ascii="Times New Roman" w:hAnsi="Times New Roman"/>
          <w:lang w:val="en-US"/>
        </w:rPr>
      </w:pPr>
      <w:r w:rsidRPr="00504846">
        <w:rPr>
          <w:rFonts w:ascii="Times New Roman" w:hAnsi="Times New Roman"/>
          <w:lang w:val="en-GB"/>
        </w:rPr>
        <w:t xml:space="preserve">It </w:t>
      </w:r>
      <w:r w:rsidRPr="00504846" w:rsidR="00331913">
        <w:rPr>
          <w:rFonts w:ascii="Times New Roman" w:hAnsi="Times New Roman"/>
          <w:lang w:val="en-GB"/>
        </w:rPr>
        <w:t xml:space="preserve">can be observed from this study that </w:t>
      </w:r>
      <w:r w:rsidRPr="00504846" w:rsidR="002D78C2">
        <w:rPr>
          <w:rFonts w:ascii="Times New Roman" w:hAnsi="Times New Roman"/>
          <w:lang w:val="en-GB"/>
        </w:rPr>
        <w:t xml:space="preserve">the original complicated theory of occupational </w:t>
      </w:r>
      <w:r w:rsidRPr="00504846" w:rsidR="0064667A">
        <w:rPr>
          <w:rFonts w:ascii="Times New Roman" w:hAnsi="Times New Roman"/>
          <w:lang w:val="en-GB"/>
        </w:rPr>
        <w:t xml:space="preserve">hygiene monitoring </w:t>
      </w:r>
      <w:r w:rsidRPr="00504846" w:rsidR="002E3CF9">
        <w:rPr>
          <w:rFonts w:ascii="Times New Roman" w:hAnsi="Times New Roman"/>
          <w:lang w:val="en-GB"/>
        </w:rPr>
        <w:t xml:space="preserve">could </w:t>
      </w:r>
      <w:r w:rsidRPr="00504846" w:rsidR="008140D1">
        <w:rPr>
          <w:rFonts w:ascii="Times New Roman" w:hAnsi="Times New Roman"/>
          <w:lang w:val="en-GB"/>
        </w:rPr>
        <w:t>have a better understanding towards students using PBL approach.</w:t>
      </w:r>
      <w:r w:rsidRPr="00504846" w:rsidR="009D24D5">
        <w:rPr>
          <w:rFonts w:ascii="Times New Roman" w:hAnsi="Times New Roman"/>
          <w:lang w:val="en-GB"/>
        </w:rPr>
        <w:t xml:space="preserve"> Students showed significant improvement in </w:t>
      </w:r>
      <w:r w:rsidRPr="00504846" w:rsidR="00424311">
        <w:rPr>
          <w:rFonts w:ascii="Times New Roman" w:hAnsi="Times New Roman"/>
          <w:lang w:val="en-GB"/>
        </w:rPr>
        <w:t xml:space="preserve">their assessment results. At the same </w:t>
      </w:r>
      <w:r w:rsidRPr="00504846" w:rsidR="0029696B">
        <w:rPr>
          <w:rFonts w:ascii="Times New Roman" w:hAnsi="Times New Roman"/>
          <w:lang w:val="en-GB"/>
        </w:rPr>
        <w:t>time, both</w:t>
      </w:r>
      <w:r w:rsidRPr="00504846" w:rsidR="00424311">
        <w:rPr>
          <w:rFonts w:ascii="Times New Roman" w:hAnsi="Times New Roman"/>
          <w:lang w:val="en-GB"/>
        </w:rPr>
        <w:t xml:space="preserve"> students and industry partner </w:t>
      </w:r>
      <w:r w:rsidRPr="00504846" w:rsidR="00122187">
        <w:rPr>
          <w:rFonts w:ascii="Times New Roman" w:hAnsi="Times New Roman"/>
          <w:lang w:val="en-GB"/>
        </w:rPr>
        <w:t xml:space="preserve">welcomed and </w:t>
      </w:r>
      <w:r w:rsidR="00412CBF">
        <w:rPr>
          <w:rFonts w:ascii="Times New Roman" w:hAnsi="Times New Roman"/>
          <w:lang w:val="en-GB"/>
        </w:rPr>
        <w:t>showed positive feedbacks</w:t>
      </w:r>
      <w:r w:rsidRPr="00504846" w:rsidR="00122187">
        <w:rPr>
          <w:rFonts w:ascii="Times New Roman" w:hAnsi="Times New Roman"/>
          <w:lang w:val="en-GB"/>
        </w:rPr>
        <w:t xml:space="preserve"> with the adoption of PBL approach in learning occupational hygiene monitoring. </w:t>
      </w:r>
      <w:r w:rsidRPr="00504846" w:rsidR="00CE4CB3">
        <w:rPr>
          <w:rFonts w:ascii="Times New Roman" w:hAnsi="Times New Roman"/>
          <w:lang w:val="en-GB"/>
        </w:rPr>
        <w:t xml:space="preserve">Since occupational hygiene monitoring is an </w:t>
      </w:r>
      <w:r w:rsidRPr="00504846" w:rsidR="0029696B">
        <w:rPr>
          <w:rFonts w:ascii="Times New Roman" w:hAnsi="Times New Roman"/>
          <w:lang w:val="en-GB"/>
        </w:rPr>
        <w:t>indispensable</w:t>
      </w:r>
      <w:r w:rsidRPr="00504846" w:rsidR="00CE4CB3">
        <w:rPr>
          <w:rFonts w:ascii="Times New Roman" w:hAnsi="Times New Roman"/>
          <w:lang w:val="en-GB"/>
        </w:rPr>
        <w:t xml:space="preserve"> </w:t>
      </w:r>
      <w:r w:rsidR="0099299F">
        <w:rPr>
          <w:rFonts w:ascii="Times New Roman" w:hAnsi="Times New Roman"/>
          <w:lang w:val="en-GB"/>
        </w:rPr>
        <w:t xml:space="preserve">aspect of OSH in Hong Kong, cultivating the motivation of students’ learning in this area can therefore </w:t>
      </w:r>
      <w:r w:rsidR="00896AC0">
        <w:rPr>
          <w:rFonts w:ascii="Times New Roman" w:hAnsi="Times New Roman"/>
          <w:lang w:val="en-GB"/>
        </w:rPr>
        <w:t xml:space="preserve">promote the awareness of </w:t>
      </w:r>
      <w:r w:rsidR="00CE7D2D">
        <w:rPr>
          <w:rFonts w:ascii="Times New Roman" w:hAnsi="Times New Roman"/>
          <w:lang w:val="en-GB"/>
        </w:rPr>
        <w:t>occupational safety among them.</w:t>
      </w:r>
      <w:r w:rsidR="005975A7">
        <w:rPr>
          <w:rFonts w:ascii="Times New Roman" w:hAnsi="Times New Roman"/>
          <w:lang w:val="en-GB"/>
        </w:rPr>
        <w:t xml:space="preserve"> It is therefore suggested </w:t>
      </w:r>
      <w:r w:rsidR="0075462A">
        <w:rPr>
          <w:rFonts w:ascii="Times New Roman" w:hAnsi="Times New Roman"/>
          <w:lang w:val="en-GB"/>
        </w:rPr>
        <w:t xml:space="preserve">the adoption of PBL learning in other modules to facilitate the </w:t>
      </w:r>
      <w:r w:rsidR="00E06FAA">
        <w:rPr>
          <w:rFonts w:ascii="Times New Roman" w:hAnsi="Times New Roman"/>
          <w:lang w:val="en-GB"/>
        </w:rPr>
        <w:t xml:space="preserve">classroom </w:t>
      </w:r>
      <w:r w:rsidR="0075462A">
        <w:rPr>
          <w:rFonts w:ascii="Times New Roman" w:hAnsi="Times New Roman"/>
          <w:lang w:val="en-GB"/>
        </w:rPr>
        <w:t>learning at</w:t>
      </w:r>
      <w:r w:rsidR="00E06FAA">
        <w:rPr>
          <w:rFonts w:ascii="Times New Roman" w:hAnsi="Times New Roman"/>
          <w:lang w:val="en-GB"/>
        </w:rPr>
        <w:t xml:space="preserve">mosphere, especially for </w:t>
      </w:r>
      <w:r w:rsidR="00E06FAA">
        <w:rPr>
          <w:rFonts w:ascii="Times New Roman" w:hAnsi="Times New Roman"/>
          <w:lang w:val="en-US"/>
        </w:rPr>
        <w:t xml:space="preserve">some </w:t>
      </w:r>
      <w:r w:rsidR="00E6036F">
        <w:rPr>
          <w:rFonts w:ascii="Times New Roman" w:hAnsi="Times New Roman"/>
          <w:lang w:val="en-US"/>
        </w:rPr>
        <w:t>difficult-to-understand concepts.</w:t>
      </w:r>
    </w:p>
    <w:p w:rsidRPr="00504846" w:rsidR="00A94A51" w:rsidP="00E11BC7" w:rsidRDefault="00A94A51" w14:paraId="4101652C" w14:textId="77777777">
      <w:pPr>
        <w:pStyle w:val="a4"/>
        <w:jc w:val="both"/>
        <w:rPr>
          <w:rFonts w:ascii="Times New Roman" w:hAnsi="Times New Roman"/>
          <w:lang w:val="en-GB"/>
        </w:rPr>
      </w:pPr>
    </w:p>
    <w:p w:rsidRPr="00504846" w:rsidR="007B7F1B" w:rsidP="007B7F1B" w:rsidRDefault="007B7F1B" w14:paraId="071E4E01" w14:textId="77777777">
      <w:pPr>
        <w:pStyle w:val="a4"/>
        <w:jc w:val="both"/>
        <w:rPr>
          <w:rFonts w:ascii="Times New Roman" w:hAnsi="Times New Roman"/>
          <w:b/>
          <w:lang w:val="en-GB"/>
        </w:rPr>
      </w:pPr>
      <w:r w:rsidRPr="00504846">
        <w:rPr>
          <w:rFonts w:ascii="Times New Roman" w:hAnsi="Times New Roman"/>
          <w:b/>
          <w:lang w:val="en-GB"/>
        </w:rPr>
        <w:t>References</w:t>
      </w:r>
    </w:p>
    <w:p w:rsidRPr="00504846" w:rsidR="007B7F1B" w:rsidP="007B7F1B" w:rsidRDefault="007B7F1B" w14:paraId="4DDBEF00" w14:textId="77777777">
      <w:pPr>
        <w:pStyle w:val="a4"/>
        <w:jc w:val="both"/>
        <w:rPr>
          <w:rFonts w:ascii="Times New Roman" w:hAnsi="Times New Roman"/>
          <w:lang w:val="en-GB"/>
        </w:rPr>
      </w:pPr>
    </w:p>
    <w:p w:rsidR="00A37F6A" w:rsidP="007B7F1B" w:rsidRDefault="00A37F6A" w14:paraId="0FA4E9D4" w14:textId="778B3C72">
      <w:pPr>
        <w:pStyle w:val="a4"/>
        <w:jc w:val="both"/>
        <w:rPr>
          <w:rFonts w:ascii="Times New Roman" w:hAnsi="Times New Roman"/>
          <w:lang w:val="en-GB"/>
        </w:rPr>
      </w:pPr>
      <w:r w:rsidRPr="00504846">
        <w:rPr>
          <w:rFonts w:ascii="Times New Roman" w:hAnsi="Times New Roman"/>
          <w:lang w:val="en-GB"/>
        </w:rPr>
        <w:t xml:space="preserve">European Agency for Safety and Health at Work </w:t>
      </w:r>
      <w:r w:rsidR="00A011D4">
        <w:rPr>
          <w:rFonts w:ascii="Times New Roman" w:hAnsi="Times New Roman"/>
          <w:lang w:val="en-GB"/>
        </w:rPr>
        <w:t xml:space="preserve">(2021). </w:t>
      </w:r>
      <w:r w:rsidRPr="00504846">
        <w:rPr>
          <w:rFonts w:ascii="Times New Roman" w:hAnsi="Times New Roman"/>
          <w:i/>
          <w:lang w:val="en-GB"/>
        </w:rPr>
        <w:t>Occupational safety and health in micro and small enterprises</w:t>
      </w:r>
      <w:r w:rsidRPr="00504846">
        <w:rPr>
          <w:rFonts w:ascii="Times New Roman" w:hAnsi="Times New Roman"/>
          <w:lang w:val="en-GB"/>
        </w:rPr>
        <w:t>. Retrieved from https://osha.europa.eu/en/themes/safety-and-health-micro-and-small-enterprises accessed 4.01.2021.</w:t>
      </w:r>
    </w:p>
    <w:p w:rsidR="007D448D" w:rsidP="007B7F1B" w:rsidRDefault="007D448D" w14:paraId="00FF095F" w14:textId="77777777">
      <w:pPr>
        <w:pStyle w:val="a4"/>
        <w:jc w:val="both"/>
        <w:rPr>
          <w:rFonts w:ascii="Times New Roman" w:hAnsi="Times New Roman"/>
          <w:lang w:val="en-GB"/>
        </w:rPr>
      </w:pPr>
    </w:p>
    <w:p w:rsidR="007D448D" w:rsidP="007B7F1B" w:rsidRDefault="007D448D" w14:paraId="3BA0A7DC" w14:textId="022C4622">
      <w:pPr>
        <w:pStyle w:val="a4"/>
        <w:jc w:val="both"/>
        <w:rPr>
          <w:rFonts w:ascii="Times New Roman" w:hAnsi="Times New Roman"/>
          <w:lang w:val="en-GB"/>
        </w:rPr>
      </w:pPr>
      <w:r w:rsidRPr="00504846">
        <w:rPr>
          <w:rFonts w:ascii="Times New Roman" w:hAnsi="Times New Roman"/>
          <w:lang w:val="en-GB"/>
        </w:rPr>
        <w:t xml:space="preserve">International, </w:t>
      </w:r>
      <w:proofErr w:type="spellStart"/>
      <w:r w:rsidRPr="00504846">
        <w:rPr>
          <w:rFonts w:ascii="Times New Roman" w:hAnsi="Times New Roman"/>
          <w:lang w:val="en-GB"/>
        </w:rPr>
        <w:t>K.M.o.H.a.I.H</w:t>
      </w:r>
      <w:proofErr w:type="spellEnd"/>
      <w:r w:rsidRPr="00504846">
        <w:rPr>
          <w:rFonts w:ascii="Times New Roman" w:hAnsi="Times New Roman"/>
          <w:lang w:val="en-GB"/>
        </w:rPr>
        <w:t>. (2013). Report of the occupational safety and health risk assessment. Nairobi, Kenya.</w:t>
      </w:r>
    </w:p>
    <w:p w:rsidR="007D448D" w:rsidP="007B7F1B" w:rsidRDefault="007D448D" w14:paraId="6297CDE7" w14:textId="77777777">
      <w:pPr>
        <w:pStyle w:val="a4"/>
        <w:jc w:val="both"/>
        <w:rPr>
          <w:rFonts w:ascii="Times New Roman" w:hAnsi="Times New Roman"/>
          <w:lang w:val="en-GB"/>
        </w:rPr>
      </w:pPr>
    </w:p>
    <w:p w:rsidR="00846F7A" w:rsidP="007B7F1B" w:rsidRDefault="00846F7A" w14:paraId="3B4CAFDB" w14:textId="08033BB4">
      <w:pPr>
        <w:pStyle w:val="a4"/>
        <w:jc w:val="both"/>
        <w:rPr>
          <w:rFonts w:ascii="Times New Roman" w:hAnsi="Times New Roman"/>
          <w:lang w:val="en-GB"/>
        </w:rPr>
      </w:pPr>
      <w:r w:rsidRPr="00504846">
        <w:rPr>
          <w:rFonts w:ascii="Times New Roman" w:hAnsi="Times New Roman"/>
          <w:lang w:val="en-GB"/>
        </w:rPr>
        <w:t>Krajcik, J. S., &amp; Czerniak, C. M. (2018). Teaching science in elementary and middle school: A project-based learning approach. Routledge.</w:t>
      </w:r>
    </w:p>
    <w:p w:rsidR="00846F7A" w:rsidP="007B7F1B" w:rsidRDefault="00846F7A" w14:paraId="0FA4F4E6" w14:textId="77777777">
      <w:pPr>
        <w:pStyle w:val="a4"/>
        <w:jc w:val="both"/>
        <w:rPr>
          <w:rFonts w:ascii="Times New Roman" w:hAnsi="Times New Roman"/>
          <w:lang w:val="en-GB"/>
        </w:rPr>
      </w:pPr>
    </w:p>
    <w:p w:rsidRPr="00504846" w:rsidR="00A94A51" w:rsidP="007B7F1B" w:rsidRDefault="00D17A32" w14:paraId="1B5B4F0D" w14:textId="34E5524B">
      <w:pPr>
        <w:pStyle w:val="a4"/>
        <w:jc w:val="both"/>
        <w:rPr>
          <w:rFonts w:ascii="Times New Roman" w:hAnsi="Times New Roman"/>
          <w:lang w:val="en-GB"/>
        </w:rPr>
      </w:pPr>
      <w:r w:rsidRPr="00504846">
        <w:rPr>
          <w:rFonts w:ascii="Times New Roman" w:hAnsi="Times New Roman"/>
          <w:lang w:val="en-GB"/>
        </w:rPr>
        <w:t>Labour Department, Hong Kong</w:t>
      </w:r>
      <w:r w:rsidRPr="00504846" w:rsidR="007B7F1B">
        <w:rPr>
          <w:rFonts w:ascii="Times New Roman" w:hAnsi="Times New Roman"/>
          <w:lang w:val="en-GB"/>
        </w:rPr>
        <w:t>. (</w:t>
      </w:r>
      <w:r w:rsidRPr="00504846">
        <w:rPr>
          <w:rFonts w:ascii="Times New Roman" w:hAnsi="Times New Roman"/>
          <w:lang w:val="en-GB"/>
        </w:rPr>
        <w:t>2022</w:t>
      </w:r>
      <w:r w:rsidRPr="00504846" w:rsidR="007B7F1B">
        <w:rPr>
          <w:rFonts w:ascii="Times New Roman" w:hAnsi="Times New Roman"/>
          <w:lang w:val="en-GB"/>
        </w:rPr>
        <w:t xml:space="preserve">). </w:t>
      </w:r>
      <w:r w:rsidRPr="00504846">
        <w:rPr>
          <w:rFonts w:ascii="Times New Roman" w:hAnsi="Times New Roman"/>
          <w:lang w:val="en-GB"/>
        </w:rPr>
        <w:t>Summary of Occupational Safety and Health Statistics 2022</w:t>
      </w:r>
      <w:r w:rsidRPr="00504846" w:rsidR="007B7F1B">
        <w:rPr>
          <w:rFonts w:ascii="Times New Roman" w:hAnsi="Times New Roman"/>
          <w:lang w:val="en-GB"/>
        </w:rPr>
        <w:t xml:space="preserve">. </w:t>
      </w:r>
      <w:r w:rsidRPr="00504846">
        <w:rPr>
          <w:rFonts w:ascii="Times New Roman" w:hAnsi="Times New Roman"/>
          <w:i/>
          <w:lang w:val="en-GB"/>
        </w:rPr>
        <w:t>Occupational Safety and Health Statistics Bulletin</w:t>
      </w:r>
      <w:r w:rsidRPr="00504846" w:rsidR="007B7F1B">
        <w:rPr>
          <w:rFonts w:ascii="Times New Roman" w:hAnsi="Times New Roman"/>
          <w:lang w:val="en-GB"/>
        </w:rPr>
        <w:t xml:space="preserve">, </w:t>
      </w:r>
      <w:r w:rsidRPr="00504846">
        <w:rPr>
          <w:rFonts w:ascii="Times New Roman" w:hAnsi="Times New Roman"/>
          <w:lang w:val="en-GB"/>
        </w:rPr>
        <w:t>22</w:t>
      </w:r>
      <w:r w:rsidRPr="00504846" w:rsidR="007B7F1B">
        <w:rPr>
          <w:rFonts w:ascii="Times New Roman" w:hAnsi="Times New Roman"/>
          <w:lang w:val="en-GB"/>
        </w:rPr>
        <w:t>, 1-</w:t>
      </w:r>
      <w:r w:rsidRPr="00504846">
        <w:rPr>
          <w:rFonts w:ascii="Times New Roman" w:hAnsi="Times New Roman"/>
          <w:lang w:val="en-GB"/>
        </w:rPr>
        <w:t>4</w:t>
      </w:r>
      <w:r w:rsidRPr="00504846" w:rsidR="007B7F1B">
        <w:rPr>
          <w:rFonts w:ascii="Times New Roman" w:hAnsi="Times New Roman"/>
          <w:lang w:val="en-GB"/>
        </w:rPr>
        <w:t>.</w:t>
      </w:r>
    </w:p>
    <w:p w:rsidR="00A94A51" w:rsidP="007B7F1B" w:rsidRDefault="00A94A51" w14:paraId="0FB78278" w14:textId="77777777">
      <w:pPr>
        <w:pStyle w:val="a4"/>
        <w:jc w:val="both"/>
        <w:rPr>
          <w:rFonts w:ascii="Times New Roman" w:hAnsi="Times New Roman"/>
          <w:lang w:val="en-GB"/>
        </w:rPr>
      </w:pPr>
    </w:p>
    <w:p w:rsidR="00846F7A" w:rsidP="007B7F1B" w:rsidRDefault="00846F7A" w14:paraId="7D5E0833" w14:textId="1B6D99EB">
      <w:pPr>
        <w:pStyle w:val="a4"/>
        <w:jc w:val="both"/>
        <w:rPr>
          <w:rFonts w:ascii="Times New Roman" w:hAnsi="Times New Roman"/>
          <w:lang w:val="en-GB"/>
        </w:rPr>
      </w:pPr>
      <w:proofErr w:type="spellStart"/>
      <w:r w:rsidRPr="00504846">
        <w:rPr>
          <w:rFonts w:ascii="Times New Roman" w:hAnsi="Times New Roman"/>
          <w:lang w:val="en-GB"/>
        </w:rPr>
        <w:t>Montequín</w:t>
      </w:r>
      <w:proofErr w:type="spellEnd"/>
      <w:r w:rsidRPr="00504846">
        <w:rPr>
          <w:rFonts w:ascii="Times New Roman" w:hAnsi="Times New Roman"/>
          <w:lang w:val="en-GB"/>
        </w:rPr>
        <w:t xml:space="preserve">, V. R., </w:t>
      </w:r>
      <w:proofErr w:type="spellStart"/>
      <w:r w:rsidRPr="00504846">
        <w:rPr>
          <w:rFonts w:ascii="Times New Roman" w:hAnsi="Times New Roman"/>
          <w:lang w:val="en-GB"/>
        </w:rPr>
        <w:t>Balsera</w:t>
      </w:r>
      <w:proofErr w:type="spellEnd"/>
      <w:r w:rsidRPr="00504846">
        <w:rPr>
          <w:rFonts w:ascii="Times New Roman" w:hAnsi="Times New Roman"/>
          <w:lang w:val="en-GB"/>
        </w:rPr>
        <w:t xml:space="preserve">, J. V., Fernández, J. M. M., &amp; Nieto, A. G. (2012). Using Myers-Briggs type indicator (MBTI) as a tool for setting up student teams for information technology projects. </w:t>
      </w:r>
      <w:r w:rsidRPr="00504846">
        <w:rPr>
          <w:rFonts w:ascii="Times New Roman" w:hAnsi="Times New Roman"/>
          <w:i/>
          <w:lang w:val="en-GB"/>
        </w:rPr>
        <w:t>Journal of Information Technology and Application in Education</w:t>
      </w:r>
      <w:r w:rsidRPr="00504846">
        <w:rPr>
          <w:rFonts w:ascii="Times New Roman" w:hAnsi="Times New Roman"/>
          <w:lang w:val="en-GB"/>
        </w:rPr>
        <w:t>, 1, 8.</w:t>
      </w:r>
    </w:p>
    <w:p w:rsidR="00846F7A" w:rsidP="007B7F1B" w:rsidRDefault="00846F7A" w14:paraId="6A21A0D4" w14:textId="77777777">
      <w:pPr>
        <w:pStyle w:val="a4"/>
        <w:jc w:val="both"/>
        <w:rPr>
          <w:rFonts w:ascii="Times New Roman" w:hAnsi="Times New Roman"/>
          <w:lang w:val="en-GB"/>
        </w:rPr>
      </w:pPr>
    </w:p>
    <w:p w:rsidR="00846F7A" w:rsidP="007B7F1B" w:rsidRDefault="00846F7A" w14:paraId="6A854541" w14:textId="23A18D12">
      <w:pPr>
        <w:pStyle w:val="a4"/>
        <w:jc w:val="both"/>
        <w:rPr>
          <w:rFonts w:ascii="Times New Roman" w:hAnsi="Times New Roman"/>
          <w:lang w:val="en-GB"/>
        </w:rPr>
      </w:pPr>
      <w:r w:rsidRPr="00504846">
        <w:rPr>
          <w:rFonts w:ascii="Times New Roman" w:hAnsi="Times New Roman"/>
          <w:lang w:val="en-GB"/>
        </w:rPr>
        <w:t xml:space="preserve">Most, M. S., and D. T. Yates. </w:t>
      </w:r>
      <w:r w:rsidR="00A011D4">
        <w:rPr>
          <w:rFonts w:ascii="Times New Roman" w:hAnsi="Times New Roman"/>
          <w:lang w:val="en-GB"/>
        </w:rPr>
        <w:t>(</w:t>
      </w:r>
      <w:r w:rsidRPr="00504846">
        <w:rPr>
          <w:rFonts w:ascii="Times New Roman" w:hAnsi="Times New Roman"/>
          <w:lang w:val="en-GB"/>
        </w:rPr>
        <w:t>2021</w:t>
      </w:r>
      <w:r w:rsidR="00A011D4">
        <w:rPr>
          <w:rFonts w:ascii="Times New Roman" w:hAnsi="Times New Roman"/>
          <w:lang w:val="en-GB"/>
        </w:rPr>
        <w:t>)</w:t>
      </w:r>
      <w:r w:rsidRPr="00504846">
        <w:rPr>
          <w:rFonts w:ascii="Times New Roman" w:hAnsi="Times New Roman"/>
          <w:lang w:val="en-GB"/>
        </w:rPr>
        <w:t xml:space="preserve">. Inflammatory mediation of heat stress-induced growth deficits in livestock and its potential role as a target for nutritional interventions: A review. </w:t>
      </w:r>
      <w:r w:rsidRPr="00504846">
        <w:rPr>
          <w:rFonts w:ascii="Times New Roman" w:hAnsi="Times New Roman"/>
          <w:i/>
          <w:lang w:val="en-GB"/>
        </w:rPr>
        <w:t>Animals (Basel)</w:t>
      </w:r>
      <w:r w:rsidR="000836B1">
        <w:rPr>
          <w:rFonts w:ascii="Times New Roman" w:hAnsi="Times New Roman"/>
          <w:iCs/>
          <w:lang w:val="en-GB"/>
        </w:rPr>
        <w:t>,</w:t>
      </w:r>
      <w:r w:rsidRPr="00504846">
        <w:rPr>
          <w:rFonts w:ascii="Times New Roman" w:hAnsi="Times New Roman" w:eastAsia="新細明體"/>
          <w:i/>
          <w:lang w:val="en-GB" w:eastAsia="zh-TW"/>
        </w:rPr>
        <w:t xml:space="preserve"> </w:t>
      </w:r>
      <w:r w:rsidRPr="00504846">
        <w:rPr>
          <w:rFonts w:ascii="Times New Roman" w:hAnsi="Times New Roman"/>
          <w:lang w:val="en-GB"/>
        </w:rPr>
        <w:t>11, 3539.</w:t>
      </w:r>
    </w:p>
    <w:p w:rsidR="00846F7A" w:rsidP="007B7F1B" w:rsidRDefault="00846F7A" w14:paraId="248F8FC8" w14:textId="77777777">
      <w:pPr>
        <w:pStyle w:val="a4"/>
        <w:jc w:val="both"/>
        <w:rPr>
          <w:rFonts w:ascii="Times New Roman" w:hAnsi="Times New Roman"/>
          <w:lang w:val="en-GB"/>
        </w:rPr>
      </w:pPr>
    </w:p>
    <w:p w:rsidR="000836B1" w:rsidP="007B7F1B" w:rsidRDefault="000836B1" w14:paraId="4330D3A0" w14:textId="2D9E4C0B">
      <w:pPr>
        <w:pStyle w:val="a4"/>
        <w:jc w:val="both"/>
        <w:rPr>
          <w:rFonts w:ascii="Times New Roman" w:hAnsi="Times New Roman" w:eastAsia="新細明體"/>
          <w:lang w:val="en-GB" w:eastAsia="zh-TW"/>
        </w:rPr>
      </w:pPr>
      <w:r>
        <w:rPr>
          <w:rFonts w:hint="eastAsia" w:ascii="Times New Roman" w:hAnsi="Times New Roman" w:eastAsia="新細明體"/>
          <w:lang w:val="en-GB" w:eastAsia="zh-TW"/>
        </w:rPr>
        <w:t>P</w:t>
      </w:r>
      <w:r>
        <w:rPr>
          <w:rFonts w:ascii="Times New Roman" w:hAnsi="Times New Roman" w:eastAsia="新細明體"/>
          <w:lang w:val="en-GB" w:eastAsia="zh-TW"/>
        </w:rPr>
        <w:t xml:space="preserve">appas, G. P., Herbert, R. J., Henderson, W., Koenig, J., Stover, B., Barnhart, S. (2000). The respiratory effects of volatile organic compounds. </w:t>
      </w:r>
      <w:r w:rsidRPr="000836B1">
        <w:rPr>
          <w:rFonts w:ascii="Times New Roman" w:hAnsi="Times New Roman" w:eastAsia="新細明體"/>
          <w:i/>
          <w:iCs/>
          <w:lang w:val="en-GB" w:eastAsia="zh-TW"/>
        </w:rPr>
        <w:t>International Journal of Occupational and Environmental Health</w:t>
      </w:r>
      <w:r>
        <w:rPr>
          <w:rFonts w:ascii="Times New Roman" w:hAnsi="Times New Roman" w:eastAsia="新細明體"/>
          <w:lang w:val="en-GB" w:eastAsia="zh-TW"/>
        </w:rPr>
        <w:t>, 6, 1-8.</w:t>
      </w:r>
    </w:p>
    <w:p w:rsidRPr="000836B1" w:rsidR="000836B1" w:rsidP="007B7F1B" w:rsidRDefault="000836B1" w14:paraId="2BC2A23B" w14:textId="77777777">
      <w:pPr>
        <w:pStyle w:val="a4"/>
        <w:jc w:val="both"/>
        <w:rPr>
          <w:rFonts w:hint="eastAsia" w:ascii="Times New Roman" w:hAnsi="Times New Roman" w:eastAsia="新細明體"/>
          <w:lang w:val="en-GB" w:eastAsia="zh-TW"/>
        </w:rPr>
      </w:pPr>
    </w:p>
    <w:p w:rsidRPr="00504846" w:rsidR="00DB3C74" w:rsidP="00DB3C74" w:rsidRDefault="00DB3C74" w14:paraId="67F35FA0" w14:textId="77777777">
      <w:pPr>
        <w:pStyle w:val="a4"/>
        <w:jc w:val="both"/>
        <w:rPr>
          <w:rFonts w:ascii="Times New Roman" w:hAnsi="Times New Roman"/>
          <w:lang w:val="en-GB"/>
        </w:rPr>
      </w:pPr>
      <w:r w:rsidRPr="00504846">
        <w:rPr>
          <w:rFonts w:ascii="Times New Roman" w:hAnsi="Times New Roman"/>
          <w:lang w:val="en-GB"/>
        </w:rPr>
        <w:t xml:space="preserve">Sari, N. M., </w:t>
      </w:r>
      <w:proofErr w:type="spellStart"/>
      <w:r w:rsidRPr="00504846">
        <w:rPr>
          <w:rFonts w:ascii="Times New Roman" w:hAnsi="Times New Roman"/>
          <w:lang w:val="en-GB"/>
        </w:rPr>
        <w:t>Yaniawati</w:t>
      </w:r>
      <w:proofErr w:type="spellEnd"/>
      <w:r w:rsidRPr="00504846">
        <w:rPr>
          <w:rFonts w:ascii="Times New Roman" w:hAnsi="Times New Roman"/>
          <w:lang w:val="en-GB"/>
        </w:rPr>
        <w:t xml:space="preserve">, P., </w:t>
      </w:r>
      <w:proofErr w:type="spellStart"/>
      <w:r w:rsidRPr="00504846">
        <w:rPr>
          <w:rFonts w:ascii="Times New Roman" w:hAnsi="Times New Roman"/>
          <w:lang w:val="en-GB"/>
        </w:rPr>
        <w:t>Darhim</w:t>
      </w:r>
      <w:proofErr w:type="spellEnd"/>
      <w:r w:rsidRPr="00504846">
        <w:rPr>
          <w:rFonts w:ascii="Times New Roman" w:hAnsi="Times New Roman"/>
          <w:lang w:val="en-GB"/>
        </w:rPr>
        <w:t xml:space="preserve">, &amp; </w:t>
      </w:r>
      <w:proofErr w:type="spellStart"/>
      <w:r w:rsidRPr="00504846">
        <w:rPr>
          <w:rFonts w:ascii="Times New Roman" w:hAnsi="Times New Roman"/>
          <w:lang w:val="en-GB"/>
        </w:rPr>
        <w:t>Kartasasmita</w:t>
      </w:r>
      <w:proofErr w:type="spellEnd"/>
      <w:r w:rsidRPr="00504846">
        <w:rPr>
          <w:rFonts w:ascii="Times New Roman" w:hAnsi="Times New Roman"/>
          <w:lang w:val="en-GB"/>
        </w:rPr>
        <w:t xml:space="preserve">, B. G. (2019). The Effect of Different Ways in Presenting Teaching Materials on Students' Mathematical </w:t>
      </w:r>
      <w:proofErr w:type="gramStart"/>
      <w:r w:rsidRPr="00504846">
        <w:rPr>
          <w:rFonts w:ascii="Times New Roman" w:hAnsi="Times New Roman"/>
          <w:lang w:val="en-GB"/>
        </w:rPr>
        <w:t>Problem Solving</w:t>
      </w:r>
      <w:proofErr w:type="gramEnd"/>
      <w:r w:rsidRPr="00504846">
        <w:rPr>
          <w:rFonts w:ascii="Times New Roman" w:hAnsi="Times New Roman"/>
          <w:lang w:val="en-GB"/>
        </w:rPr>
        <w:t xml:space="preserve"> Abilities. </w:t>
      </w:r>
      <w:r w:rsidRPr="00504846">
        <w:rPr>
          <w:rFonts w:ascii="Times New Roman" w:hAnsi="Times New Roman"/>
          <w:i/>
          <w:lang w:val="en-GB"/>
        </w:rPr>
        <w:t>International Journal of Instruction</w:t>
      </w:r>
      <w:r w:rsidRPr="00504846">
        <w:rPr>
          <w:rFonts w:ascii="Times New Roman" w:hAnsi="Times New Roman"/>
          <w:lang w:val="en-GB"/>
        </w:rPr>
        <w:t>, 12(4), 495-512.</w:t>
      </w:r>
    </w:p>
    <w:p w:rsidRPr="00504846" w:rsidR="00DB3C74" w:rsidP="00DB3C74" w:rsidRDefault="00DB3C74" w14:paraId="7EA872AF" w14:textId="77777777">
      <w:pPr>
        <w:pStyle w:val="a4"/>
        <w:jc w:val="both"/>
        <w:rPr>
          <w:rFonts w:ascii="Times New Roman" w:hAnsi="Times New Roman"/>
          <w:lang w:val="en-GB"/>
        </w:rPr>
      </w:pPr>
    </w:p>
    <w:p w:rsidR="00DB3C74" w:rsidP="00DB3C74" w:rsidRDefault="00DB3C74" w14:paraId="263F5D84" w14:textId="1F44A38E">
      <w:pPr>
        <w:pStyle w:val="a4"/>
        <w:jc w:val="both"/>
        <w:rPr>
          <w:rFonts w:ascii="Times New Roman" w:hAnsi="Times New Roman"/>
          <w:lang w:val="en-GB"/>
        </w:rPr>
      </w:pPr>
      <w:r w:rsidRPr="00504846">
        <w:rPr>
          <w:rFonts w:ascii="Times New Roman" w:hAnsi="Times New Roman"/>
          <w:lang w:val="en-GB"/>
        </w:rPr>
        <w:t xml:space="preserve">Tambunan, H. (2019). The Effectiveness of the Problem-Solving Strategy and the Scientific Approach to Students' Mathematical Capabilities in High Order Thinking Skills. </w:t>
      </w:r>
      <w:r w:rsidRPr="00504846">
        <w:rPr>
          <w:rFonts w:ascii="Times New Roman" w:hAnsi="Times New Roman"/>
          <w:i/>
          <w:lang w:val="en-GB"/>
        </w:rPr>
        <w:t>International Electronic Journal of Mathematics Education</w:t>
      </w:r>
      <w:r w:rsidRPr="00504846">
        <w:rPr>
          <w:rFonts w:ascii="Times New Roman" w:hAnsi="Times New Roman"/>
          <w:lang w:val="en-GB"/>
        </w:rPr>
        <w:t>, 14(2), 293-302.</w:t>
      </w:r>
    </w:p>
    <w:p w:rsidRPr="00504846" w:rsidR="00DB3C74" w:rsidP="00DB3C74" w:rsidRDefault="00DB3C74" w14:paraId="35C08F0E" w14:textId="77777777">
      <w:pPr>
        <w:pStyle w:val="a4"/>
        <w:jc w:val="both"/>
        <w:rPr>
          <w:rFonts w:ascii="Times New Roman" w:hAnsi="Times New Roman"/>
          <w:lang w:val="en-GB"/>
        </w:rPr>
      </w:pPr>
    </w:p>
    <w:p w:rsidRPr="00504846" w:rsidR="00F43C7A" w:rsidP="00F43C7A" w:rsidRDefault="78B4E695" w14:paraId="552A6ECB" w14:textId="761A0F6A">
      <w:pPr>
        <w:pStyle w:val="a4"/>
        <w:jc w:val="both"/>
        <w:rPr>
          <w:rFonts w:ascii="Times New Roman" w:hAnsi="Times New Roman"/>
          <w:lang w:val="en-GB"/>
        </w:rPr>
      </w:pPr>
      <w:r w:rsidRPr="00504846">
        <w:rPr>
          <w:rFonts w:ascii="Times New Roman" w:hAnsi="Times New Roman"/>
          <w:lang w:val="en-GB"/>
        </w:rPr>
        <w:t xml:space="preserve">van der Graaf, J., Segers, E., &amp; Verhoeven, L. (2015). Scientific reasoning abilities in kindergarten: Dynamic assessment of the control of variables strategy. </w:t>
      </w:r>
      <w:r w:rsidRPr="00504846">
        <w:rPr>
          <w:rFonts w:ascii="Times New Roman" w:hAnsi="Times New Roman"/>
          <w:i/>
          <w:lang w:val="en-GB"/>
        </w:rPr>
        <w:t>Instructional Science</w:t>
      </w:r>
      <w:r w:rsidRPr="00504846">
        <w:rPr>
          <w:rFonts w:ascii="Times New Roman" w:hAnsi="Times New Roman"/>
          <w:lang w:val="en-GB"/>
        </w:rPr>
        <w:t>, 43(3), 381–400</w:t>
      </w:r>
      <w:r w:rsidRPr="00504846" w:rsidR="002F5C4C">
        <w:rPr>
          <w:rFonts w:ascii="Times New Roman" w:hAnsi="Times New Roman"/>
          <w:lang w:val="en-GB"/>
        </w:rPr>
        <w:t>.</w:t>
      </w:r>
    </w:p>
    <w:p w:rsidRPr="00504846" w:rsidR="00FA4370" w:rsidP="00F43C7A" w:rsidRDefault="00FA4370" w14:paraId="3F109066" w14:textId="79807F67">
      <w:pPr>
        <w:pStyle w:val="a4"/>
        <w:jc w:val="both"/>
        <w:rPr>
          <w:rFonts w:ascii="Times New Roman" w:hAnsi="Times New Roman"/>
          <w:lang w:val="en-GB"/>
        </w:rPr>
      </w:pPr>
    </w:p>
    <w:p w:rsidRPr="00504846" w:rsidR="00504DB7" w:rsidP="00F43C7A" w:rsidRDefault="00003AA7" w14:paraId="048EC2A7" w14:textId="5BCD2EA8">
      <w:pPr>
        <w:pStyle w:val="a4"/>
        <w:jc w:val="both"/>
        <w:rPr>
          <w:rFonts w:ascii="Times New Roman" w:hAnsi="Times New Roman"/>
          <w:lang w:val="en-GB"/>
        </w:rPr>
      </w:pPr>
      <w:r>
        <w:rPr>
          <w:rFonts w:ascii="Times New Roman" w:hAnsi="Times New Roman"/>
          <w:lang w:val="en-GB"/>
        </w:rPr>
        <w:t xml:space="preserve">Wang, S. </w:t>
      </w:r>
      <w:r w:rsidRPr="00504846" w:rsidR="00FA4370">
        <w:rPr>
          <w:rFonts w:ascii="Times New Roman" w:hAnsi="Times New Roman"/>
          <w:lang w:val="en-GB"/>
        </w:rPr>
        <w:t xml:space="preserve">(2022). Critical Thinking Development Through Project-Based Learning. </w:t>
      </w:r>
      <w:r w:rsidRPr="00504846" w:rsidR="00FA4370">
        <w:rPr>
          <w:rFonts w:ascii="Times New Roman" w:hAnsi="Times New Roman"/>
          <w:i/>
          <w:lang w:val="en-GB"/>
        </w:rPr>
        <w:t>Journal of Language Teaching and Research</w:t>
      </w:r>
      <w:r w:rsidRPr="00504846" w:rsidR="00FA4370">
        <w:rPr>
          <w:rFonts w:ascii="Times New Roman" w:hAnsi="Times New Roman"/>
          <w:lang w:val="en-GB"/>
        </w:rPr>
        <w:t>, 13(5), 1007-1013.</w:t>
      </w:r>
    </w:p>
    <w:sectPr w:rsidRPr="00504846" w:rsidR="00504DB7" w:rsidSect="000D146F">
      <w:type w:val="continuous"/>
      <w:pgSz w:w="11906" w:h="16838" w:orient="portrait" w:code="9"/>
      <w:pgMar w:top="1418" w:right="1134" w:bottom="1134" w:left="1134" w:header="720" w:footer="720" w:gutter="0"/>
      <w:pgNumType w:start="9"/>
      <w:cols w:equalWidth="0" w:space="567" w:num="2">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3843" w:rsidRDefault="00723843" w14:paraId="0A9D7A37" w14:textId="77777777">
      <w:r>
        <w:separator/>
      </w:r>
    </w:p>
  </w:endnote>
  <w:endnote w:type="continuationSeparator" w:id="0">
    <w:p w:rsidR="00723843" w:rsidRDefault="00723843" w14:paraId="2BBDF6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3843" w:rsidRDefault="00723843" w14:paraId="3396B298" w14:textId="77777777">
      <w:r>
        <w:separator/>
      </w:r>
    </w:p>
  </w:footnote>
  <w:footnote w:type="continuationSeparator" w:id="0">
    <w:p w:rsidR="00723843" w:rsidRDefault="00723843" w14:paraId="4E0D596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66BAC" w:rsidR="007A4FF8" w:rsidP="00601880" w:rsidRDefault="007A4FF8" w14:paraId="54F9AE05" w14:textId="77777777">
    <w:pPr>
      <w:pStyle w:val="a6"/>
      <w:jc w:val="right"/>
      <w:rPr>
        <w:rFonts w:ascii="Arial" w:hAnsi="Arial" w:cs="Arial"/>
        <w:sz w:val="28"/>
        <w:szCs w:val="28"/>
      </w:rPr>
    </w:pPr>
    <w:r w:rsidRPr="00CB53B8">
      <w:tab/>
    </w:r>
    <w:r w:rsidRPr="00CB53B8">
      <w:tab/>
    </w:r>
    <w:r w:rsidRPr="00CB53B8" w:rsidR="00601880">
      <w:t xml:space="preserve">   </w:t>
    </w:r>
  </w:p>
  <w:p w:rsidRPr="005811F7" w:rsidR="00122CEB" w:rsidP="00122CEB" w:rsidRDefault="00122CEB" w14:paraId="1F72F646" w14:textId="77777777">
    <w:pPr>
      <w:pStyle w:val="a8"/>
      <w:rPr>
        <w:i/>
        <w:color w:val="FF0000"/>
        <w:sz w:val="18"/>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1F401112"/>
    <w:multiLevelType w:val="multilevel"/>
    <w:tmpl w:val="02E8F79C"/>
    <w:lvl w:ilvl="0">
      <w:start w:val="1"/>
      <w:numFmt w:val="bullet"/>
      <w:lvlText w:val="o"/>
      <w:lvlJc w:val="left"/>
      <w:pPr>
        <w:tabs>
          <w:tab w:val="num" w:pos="1004"/>
        </w:tabs>
        <w:ind w:left="1004" w:hanging="360"/>
      </w:pPr>
      <w:rPr>
        <w:rFonts w:hint="default" w:ascii="Courier New" w:hAnsi="Courier New" w:cs="Courier New"/>
      </w:rPr>
    </w:lvl>
    <w:lvl w:ilvl="1">
      <w:start w:val="1"/>
      <w:numFmt w:val="bullet"/>
      <w:lvlText w:val="o"/>
      <w:lvlJc w:val="left"/>
      <w:pPr>
        <w:tabs>
          <w:tab w:val="num" w:pos="1724"/>
        </w:tabs>
        <w:ind w:left="1724" w:hanging="360"/>
      </w:pPr>
      <w:rPr>
        <w:rFonts w:hint="default" w:ascii="Courier New" w:hAnsi="Courier New" w:cs="Courier New"/>
      </w:rPr>
    </w:lvl>
    <w:lvl w:ilvl="2">
      <w:start w:val="1"/>
      <w:numFmt w:val="bullet"/>
      <w:lvlText w:val=""/>
      <w:lvlJc w:val="left"/>
      <w:pPr>
        <w:tabs>
          <w:tab w:val="num" w:pos="2444"/>
        </w:tabs>
        <w:ind w:left="2444" w:hanging="360"/>
      </w:pPr>
      <w:rPr>
        <w:rFonts w:hint="default" w:ascii="Wingdings" w:hAnsi="Wingdings"/>
      </w:rPr>
    </w:lvl>
    <w:lvl w:ilvl="3">
      <w:start w:val="1"/>
      <w:numFmt w:val="bullet"/>
      <w:lvlText w:val=""/>
      <w:lvlJc w:val="left"/>
      <w:pPr>
        <w:tabs>
          <w:tab w:val="num" w:pos="3164"/>
        </w:tabs>
        <w:ind w:left="3164" w:hanging="360"/>
      </w:pPr>
      <w:rPr>
        <w:rFonts w:hint="default" w:ascii="Symbol" w:hAnsi="Symbol"/>
      </w:rPr>
    </w:lvl>
    <w:lvl w:ilvl="4">
      <w:start w:val="1"/>
      <w:numFmt w:val="bullet"/>
      <w:lvlText w:val="o"/>
      <w:lvlJc w:val="left"/>
      <w:pPr>
        <w:tabs>
          <w:tab w:val="num" w:pos="3884"/>
        </w:tabs>
        <w:ind w:left="3884" w:hanging="360"/>
      </w:pPr>
      <w:rPr>
        <w:rFonts w:hint="default" w:ascii="Courier New" w:hAnsi="Courier New" w:cs="Courier New"/>
      </w:rPr>
    </w:lvl>
    <w:lvl w:ilvl="5">
      <w:start w:val="1"/>
      <w:numFmt w:val="bullet"/>
      <w:lvlText w:val=""/>
      <w:lvlJc w:val="left"/>
      <w:pPr>
        <w:tabs>
          <w:tab w:val="num" w:pos="4604"/>
        </w:tabs>
        <w:ind w:left="4604" w:hanging="360"/>
      </w:pPr>
      <w:rPr>
        <w:rFonts w:hint="default" w:ascii="Wingdings" w:hAnsi="Wingdings"/>
      </w:rPr>
    </w:lvl>
    <w:lvl w:ilvl="6">
      <w:start w:val="1"/>
      <w:numFmt w:val="bullet"/>
      <w:lvlText w:val=""/>
      <w:lvlJc w:val="left"/>
      <w:pPr>
        <w:tabs>
          <w:tab w:val="num" w:pos="5324"/>
        </w:tabs>
        <w:ind w:left="5324" w:hanging="360"/>
      </w:pPr>
      <w:rPr>
        <w:rFonts w:hint="default" w:ascii="Symbol" w:hAnsi="Symbol"/>
      </w:rPr>
    </w:lvl>
    <w:lvl w:ilvl="7">
      <w:start w:val="1"/>
      <w:numFmt w:val="bullet"/>
      <w:lvlText w:val="o"/>
      <w:lvlJc w:val="left"/>
      <w:pPr>
        <w:tabs>
          <w:tab w:val="num" w:pos="6044"/>
        </w:tabs>
        <w:ind w:left="6044" w:hanging="360"/>
      </w:pPr>
      <w:rPr>
        <w:rFonts w:hint="default" w:ascii="Courier New" w:hAnsi="Courier New" w:cs="Courier New"/>
      </w:rPr>
    </w:lvl>
    <w:lvl w:ilvl="8">
      <w:start w:val="1"/>
      <w:numFmt w:val="bullet"/>
      <w:lvlText w:val=""/>
      <w:lvlJc w:val="left"/>
      <w:pPr>
        <w:tabs>
          <w:tab w:val="num" w:pos="6764"/>
        </w:tabs>
        <w:ind w:left="6764" w:hanging="360"/>
      </w:pPr>
      <w:rPr>
        <w:rFonts w:hint="default" w:ascii="Wingdings" w:hAnsi="Wingdings"/>
      </w:rPr>
    </w:lvl>
  </w:abstractNum>
  <w:abstractNum w:abstractNumId="2"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hint="default" w:ascii="Courier New" w:hAnsi="Courier New" w:cs="Courier New"/>
      </w:rPr>
    </w:lvl>
    <w:lvl w:ilvl="1" w:tplc="04090003" w:tentative="1">
      <w:start w:val="1"/>
      <w:numFmt w:val="bullet"/>
      <w:lvlText w:val="o"/>
      <w:lvlJc w:val="left"/>
      <w:pPr>
        <w:tabs>
          <w:tab w:val="num" w:pos="1724"/>
        </w:tabs>
        <w:ind w:left="1724" w:hanging="360"/>
      </w:pPr>
      <w:rPr>
        <w:rFonts w:hint="default" w:ascii="Courier New" w:hAnsi="Courier New" w:cs="Courier New"/>
      </w:rPr>
    </w:lvl>
    <w:lvl w:ilvl="2" w:tplc="04090005" w:tentative="1">
      <w:start w:val="1"/>
      <w:numFmt w:val="bullet"/>
      <w:lvlText w:val=""/>
      <w:lvlJc w:val="left"/>
      <w:pPr>
        <w:tabs>
          <w:tab w:val="num" w:pos="2444"/>
        </w:tabs>
        <w:ind w:left="2444" w:hanging="360"/>
      </w:pPr>
      <w:rPr>
        <w:rFonts w:hint="default" w:ascii="Wingdings" w:hAnsi="Wingdings"/>
      </w:rPr>
    </w:lvl>
    <w:lvl w:ilvl="3" w:tplc="04090001" w:tentative="1">
      <w:start w:val="1"/>
      <w:numFmt w:val="bullet"/>
      <w:lvlText w:val=""/>
      <w:lvlJc w:val="left"/>
      <w:pPr>
        <w:tabs>
          <w:tab w:val="num" w:pos="3164"/>
        </w:tabs>
        <w:ind w:left="3164" w:hanging="360"/>
      </w:pPr>
      <w:rPr>
        <w:rFonts w:hint="default" w:ascii="Symbol" w:hAnsi="Symbol"/>
      </w:rPr>
    </w:lvl>
    <w:lvl w:ilvl="4" w:tplc="04090003" w:tentative="1">
      <w:start w:val="1"/>
      <w:numFmt w:val="bullet"/>
      <w:lvlText w:val="o"/>
      <w:lvlJc w:val="left"/>
      <w:pPr>
        <w:tabs>
          <w:tab w:val="num" w:pos="3884"/>
        </w:tabs>
        <w:ind w:left="3884" w:hanging="360"/>
      </w:pPr>
      <w:rPr>
        <w:rFonts w:hint="default" w:ascii="Courier New" w:hAnsi="Courier New" w:cs="Courier New"/>
      </w:rPr>
    </w:lvl>
    <w:lvl w:ilvl="5" w:tplc="04090005" w:tentative="1">
      <w:start w:val="1"/>
      <w:numFmt w:val="bullet"/>
      <w:lvlText w:val=""/>
      <w:lvlJc w:val="left"/>
      <w:pPr>
        <w:tabs>
          <w:tab w:val="num" w:pos="4604"/>
        </w:tabs>
        <w:ind w:left="4604" w:hanging="360"/>
      </w:pPr>
      <w:rPr>
        <w:rFonts w:hint="default" w:ascii="Wingdings" w:hAnsi="Wingdings"/>
      </w:rPr>
    </w:lvl>
    <w:lvl w:ilvl="6" w:tplc="04090001" w:tentative="1">
      <w:start w:val="1"/>
      <w:numFmt w:val="bullet"/>
      <w:lvlText w:val=""/>
      <w:lvlJc w:val="left"/>
      <w:pPr>
        <w:tabs>
          <w:tab w:val="num" w:pos="5324"/>
        </w:tabs>
        <w:ind w:left="5324" w:hanging="360"/>
      </w:pPr>
      <w:rPr>
        <w:rFonts w:hint="default" w:ascii="Symbol" w:hAnsi="Symbol"/>
      </w:rPr>
    </w:lvl>
    <w:lvl w:ilvl="7" w:tplc="04090003" w:tentative="1">
      <w:start w:val="1"/>
      <w:numFmt w:val="bullet"/>
      <w:lvlText w:val="o"/>
      <w:lvlJc w:val="left"/>
      <w:pPr>
        <w:tabs>
          <w:tab w:val="num" w:pos="6044"/>
        </w:tabs>
        <w:ind w:left="6044" w:hanging="360"/>
      </w:pPr>
      <w:rPr>
        <w:rFonts w:hint="default" w:ascii="Courier New" w:hAnsi="Courier New" w:cs="Courier New"/>
      </w:rPr>
    </w:lvl>
    <w:lvl w:ilvl="8" w:tplc="04090005" w:tentative="1">
      <w:start w:val="1"/>
      <w:numFmt w:val="bullet"/>
      <w:lvlText w:val=""/>
      <w:lvlJc w:val="left"/>
      <w:pPr>
        <w:tabs>
          <w:tab w:val="num" w:pos="6764"/>
        </w:tabs>
        <w:ind w:left="6764" w:hanging="360"/>
      </w:pPr>
      <w:rPr>
        <w:rFonts w:hint="default" w:ascii="Wingdings" w:hAnsi="Wingdings"/>
      </w:rPr>
    </w:lvl>
  </w:abstractNum>
  <w:abstractNum w:abstractNumId="3" w15:restartNumberingAfterBreak="0">
    <w:nsid w:val="61943EE3"/>
    <w:multiLevelType w:val="hybridMultilevel"/>
    <w:tmpl w:val="84C047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40941779">
    <w:abstractNumId w:val="0"/>
  </w:num>
  <w:num w:numId="2" w16cid:durableId="1340620851">
    <w:abstractNumId w:val="2"/>
  </w:num>
  <w:num w:numId="3" w16cid:durableId="2058896977">
    <w:abstractNumId w:val="1"/>
  </w:num>
  <w:num w:numId="4" w16cid:durableId="58086948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0B"/>
    <w:rsid w:val="00003AA7"/>
    <w:rsid w:val="00004BF1"/>
    <w:rsid w:val="00025AE1"/>
    <w:rsid w:val="000261B3"/>
    <w:rsid w:val="0007186B"/>
    <w:rsid w:val="0007380B"/>
    <w:rsid w:val="00074404"/>
    <w:rsid w:val="000836B1"/>
    <w:rsid w:val="000A2212"/>
    <w:rsid w:val="000A4E28"/>
    <w:rsid w:val="000B5834"/>
    <w:rsid w:val="000D0049"/>
    <w:rsid w:val="000D146F"/>
    <w:rsid w:val="000D20AC"/>
    <w:rsid w:val="00100B3F"/>
    <w:rsid w:val="00117949"/>
    <w:rsid w:val="00122187"/>
    <w:rsid w:val="00122CEB"/>
    <w:rsid w:val="00123430"/>
    <w:rsid w:val="00133F89"/>
    <w:rsid w:val="001431A0"/>
    <w:rsid w:val="001617B7"/>
    <w:rsid w:val="001A1211"/>
    <w:rsid w:val="001B5594"/>
    <w:rsid w:val="001C635E"/>
    <w:rsid w:val="001D1104"/>
    <w:rsid w:val="001D3916"/>
    <w:rsid w:val="001D4E82"/>
    <w:rsid w:val="001D545D"/>
    <w:rsid w:val="001E0D38"/>
    <w:rsid w:val="001E3F12"/>
    <w:rsid w:val="00200167"/>
    <w:rsid w:val="002119E2"/>
    <w:rsid w:val="00224882"/>
    <w:rsid w:val="00225BEC"/>
    <w:rsid w:val="002622C2"/>
    <w:rsid w:val="00271C12"/>
    <w:rsid w:val="00284DB9"/>
    <w:rsid w:val="0029696B"/>
    <w:rsid w:val="002B0250"/>
    <w:rsid w:val="002D231D"/>
    <w:rsid w:val="002D78C2"/>
    <w:rsid w:val="002E3CF9"/>
    <w:rsid w:val="002E7912"/>
    <w:rsid w:val="002F5C4C"/>
    <w:rsid w:val="003018F1"/>
    <w:rsid w:val="0030310E"/>
    <w:rsid w:val="00312525"/>
    <w:rsid w:val="00320DB3"/>
    <w:rsid w:val="003259A5"/>
    <w:rsid w:val="00331913"/>
    <w:rsid w:val="0034119D"/>
    <w:rsid w:val="00346A6E"/>
    <w:rsid w:val="00356926"/>
    <w:rsid w:val="00372274"/>
    <w:rsid w:val="00386209"/>
    <w:rsid w:val="00386F1D"/>
    <w:rsid w:val="00397E0A"/>
    <w:rsid w:val="003A2D3D"/>
    <w:rsid w:val="003B6524"/>
    <w:rsid w:val="003C3977"/>
    <w:rsid w:val="003D7E1E"/>
    <w:rsid w:val="003E0719"/>
    <w:rsid w:val="00400C1B"/>
    <w:rsid w:val="00411AE8"/>
    <w:rsid w:val="00412CBF"/>
    <w:rsid w:val="004137A4"/>
    <w:rsid w:val="00420544"/>
    <w:rsid w:val="00424311"/>
    <w:rsid w:val="0043744B"/>
    <w:rsid w:val="00446838"/>
    <w:rsid w:val="00473179"/>
    <w:rsid w:val="00484C7F"/>
    <w:rsid w:val="004A6BDE"/>
    <w:rsid w:val="004C3F6A"/>
    <w:rsid w:val="004C6415"/>
    <w:rsid w:val="004F36E4"/>
    <w:rsid w:val="004F5803"/>
    <w:rsid w:val="00502894"/>
    <w:rsid w:val="00504846"/>
    <w:rsid w:val="00504DB7"/>
    <w:rsid w:val="00516218"/>
    <w:rsid w:val="005174E7"/>
    <w:rsid w:val="00532D2C"/>
    <w:rsid w:val="005462E6"/>
    <w:rsid w:val="00555AE5"/>
    <w:rsid w:val="0057379E"/>
    <w:rsid w:val="005811F7"/>
    <w:rsid w:val="00591310"/>
    <w:rsid w:val="00596D3E"/>
    <w:rsid w:val="005975A7"/>
    <w:rsid w:val="005A233B"/>
    <w:rsid w:val="005B01DA"/>
    <w:rsid w:val="005D50E0"/>
    <w:rsid w:val="005E0EDF"/>
    <w:rsid w:val="00601880"/>
    <w:rsid w:val="006061C1"/>
    <w:rsid w:val="00607145"/>
    <w:rsid w:val="006207D3"/>
    <w:rsid w:val="00631E9E"/>
    <w:rsid w:val="00641455"/>
    <w:rsid w:val="0064667A"/>
    <w:rsid w:val="00651295"/>
    <w:rsid w:val="00673928"/>
    <w:rsid w:val="0069414E"/>
    <w:rsid w:val="006B4DA2"/>
    <w:rsid w:val="006E1865"/>
    <w:rsid w:val="007123C2"/>
    <w:rsid w:val="00723843"/>
    <w:rsid w:val="00733312"/>
    <w:rsid w:val="00733ACC"/>
    <w:rsid w:val="00734192"/>
    <w:rsid w:val="007359EC"/>
    <w:rsid w:val="007378A5"/>
    <w:rsid w:val="00737BBC"/>
    <w:rsid w:val="0075058D"/>
    <w:rsid w:val="0075462A"/>
    <w:rsid w:val="00771C53"/>
    <w:rsid w:val="00774169"/>
    <w:rsid w:val="007864DB"/>
    <w:rsid w:val="00795042"/>
    <w:rsid w:val="007A4FF8"/>
    <w:rsid w:val="007A5C3B"/>
    <w:rsid w:val="007B48E2"/>
    <w:rsid w:val="007B7F1B"/>
    <w:rsid w:val="007C0164"/>
    <w:rsid w:val="007C797B"/>
    <w:rsid w:val="007D448D"/>
    <w:rsid w:val="007E5533"/>
    <w:rsid w:val="008048A9"/>
    <w:rsid w:val="008140D1"/>
    <w:rsid w:val="00825A59"/>
    <w:rsid w:val="008261D0"/>
    <w:rsid w:val="008377CA"/>
    <w:rsid w:val="00842BC5"/>
    <w:rsid w:val="00846F7A"/>
    <w:rsid w:val="00855738"/>
    <w:rsid w:val="00866BAC"/>
    <w:rsid w:val="00895C84"/>
    <w:rsid w:val="00896AC0"/>
    <w:rsid w:val="008E3096"/>
    <w:rsid w:val="008F7ADB"/>
    <w:rsid w:val="00901E7C"/>
    <w:rsid w:val="00903FD5"/>
    <w:rsid w:val="00930035"/>
    <w:rsid w:val="00941004"/>
    <w:rsid w:val="00963AD1"/>
    <w:rsid w:val="00967E2A"/>
    <w:rsid w:val="00973F1F"/>
    <w:rsid w:val="00980777"/>
    <w:rsid w:val="0099299F"/>
    <w:rsid w:val="009A3E3D"/>
    <w:rsid w:val="009B7C9F"/>
    <w:rsid w:val="009C6FE5"/>
    <w:rsid w:val="009D24D5"/>
    <w:rsid w:val="009E3B4F"/>
    <w:rsid w:val="009E7164"/>
    <w:rsid w:val="009F270D"/>
    <w:rsid w:val="00A011D4"/>
    <w:rsid w:val="00A0588C"/>
    <w:rsid w:val="00A14BBB"/>
    <w:rsid w:val="00A24D0A"/>
    <w:rsid w:val="00A36834"/>
    <w:rsid w:val="00A37F6A"/>
    <w:rsid w:val="00A43253"/>
    <w:rsid w:val="00A73E4F"/>
    <w:rsid w:val="00A94A51"/>
    <w:rsid w:val="00AA10C6"/>
    <w:rsid w:val="00AC13F6"/>
    <w:rsid w:val="00AE57B1"/>
    <w:rsid w:val="00AF1A04"/>
    <w:rsid w:val="00AF3628"/>
    <w:rsid w:val="00B00F0F"/>
    <w:rsid w:val="00B142F5"/>
    <w:rsid w:val="00B2392C"/>
    <w:rsid w:val="00B353ED"/>
    <w:rsid w:val="00B4234F"/>
    <w:rsid w:val="00B516DB"/>
    <w:rsid w:val="00B575F5"/>
    <w:rsid w:val="00B57ECC"/>
    <w:rsid w:val="00B67BC9"/>
    <w:rsid w:val="00B70704"/>
    <w:rsid w:val="00B724C5"/>
    <w:rsid w:val="00B74F76"/>
    <w:rsid w:val="00B90982"/>
    <w:rsid w:val="00B97339"/>
    <w:rsid w:val="00BB428D"/>
    <w:rsid w:val="00BC4611"/>
    <w:rsid w:val="00BE5094"/>
    <w:rsid w:val="00BF2B8C"/>
    <w:rsid w:val="00C04B7C"/>
    <w:rsid w:val="00C06937"/>
    <w:rsid w:val="00C30413"/>
    <w:rsid w:val="00C41CB9"/>
    <w:rsid w:val="00C44199"/>
    <w:rsid w:val="00C47233"/>
    <w:rsid w:val="00C52473"/>
    <w:rsid w:val="00C81B35"/>
    <w:rsid w:val="00C873D8"/>
    <w:rsid w:val="00CA3887"/>
    <w:rsid w:val="00CB53B8"/>
    <w:rsid w:val="00CB5C02"/>
    <w:rsid w:val="00CC06DF"/>
    <w:rsid w:val="00CC3904"/>
    <w:rsid w:val="00CC5CC7"/>
    <w:rsid w:val="00CC75C6"/>
    <w:rsid w:val="00CE4CB3"/>
    <w:rsid w:val="00CE7D2D"/>
    <w:rsid w:val="00CF0AE1"/>
    <w:rsid w:val="00CF1BE3"/>
    <w:rsid w:val="00CF4ED4"/>
    <w:rsid w:val="00D04B95"/>
    <w:rsid w:val="00D126A8"/>
    <w:rsid w:val="00D17A32"/>
    <w:rsid w:val="00D27E6D"/>
    <w:rsid w:val="00D37D29"/>
    <w:rsid w:val="00D82B1A"/>
    <w:rsid w:val="00D8798A"/>
    <w:rsid w:val="00D90911"/>
    <w:rsid w:val="00D97B4E"/>
    <w:rsid w:val="00DB3C74"/>
    <w:rsid w:val="00DC183E"/>
    <w:rsid w:val="00DD412A"/>
    <w:rsid w:val="00DD60B4"/>
    <w:rsid w:val="00DE0340"/>
    <w:rsid w:val="00DE4D8F"/>
    <w:rsid w:val="00DF38BA"/>
    <w:rsid w:val="00DF7E4E"/>
    <w:rsid w:val="00E06FAA"/>
    <w:rsid w:val="00E11BC7"/>
    <w:rsid w:val="00E17A1D"/>
    <w:rsid w:val="00E225CD"/>
    <w:rsid w:val="00E51260"/>
    <w:rsid w:val="00E6036F"/>
    <w:rsid w:val="00E758C4"/>
    <w:rsid w:val="00E868D2"/>
    <w:rsid w:val="00E9148D"/>
    <w:rsid w:val="00EA2B6B"/>
    <w:rsid w:val="00EC4AD3"/>
    <w:rsid w:val="00EC6ADB"/>
    <w:rsid w:val="00EE3347"/>
    <w:rsid w:val="00EE73B3"/>
    <w:rsid w:val="00EF0885"/>
    <w:rsid w:val="00F13323"/>
    <w:rsid w:val="00F15C12"/>
    <w:rsid w:val="00F43C7A"/>
    <w:rsid w:val="00F67A7E"/>
    <w:rsid w:val="00F70E88"/>
    <w:rsid w:val="00F75CC5"/>
    <w:rsid w:val="00F8161B"/>
    <w:rsid w:val="00F844C0"/>
    <w:rsid w:val="00FA4370"/>
    <w:rsid w:val="00FB6263"/>
    <w:rsid w:val="00FD415D"/>
    <w:rsid w:val="00FE45EE"/>
    <w:rsid w:val="00FF345B"/>
    <w:rsid w:val="0398E0B7"/>
    <w:rsid w:val="07E69F8F"/>
    <w:rsid w:val="09BADDAE"/>
    <w:rsid w:val="0CDA0DEF"/>
    <w:rsid w:val="0FDD602E"/>
    <w:rsid w:val="10C41563"/>
    <w:rsid w:val="16364558"/>
    <w:rsid w:val="1CB3362E"/>
    <w:rsid w:val="1DB5FF1D"/>
    <w:rsid w:val="1DD0DC28"/>
    <w:rsid w:val="212EBCD1"/>
    <w:rsid w:val="23E6C056"/>
    <w:rsid w:val="291DC9CA"/>
    <w:rsid w:val="293D4DD8"/>
    <w:rsid w:val="297D96B5"/>
    <w:rsid w:val="2B196716"/>
    <w:rsid w:val="345E2EFC"/>
    <w:rsid w:val="34E90B4B"/>
    <w:rsid w:val="373597DD"/>
    <w:rsid w:val="3AA0A3DD"/>
    <w:rsid w:val="3E5C3719"/>
    <w:rsid w:val="41815036"/>
    <w:rsid w:val="4779031A"/>
    <w:rsid w:val="49F6823F"/>
    <w:rsid w:val="4BD18BBB"/>
    <w:rsid w:val="4D33F22B"/>
    <w:rsid w:val="52C0C9DA"/>
    <w:rsid w:val="5DD7B5C6"/>
    <w:rsid w:val="610F5688"/>
    <w:rsid w:val="62239052"/>
    <w:rsid w:val="655D1560"/>
    <w:rsid w:val="66B574BB"/>
    <w:rsid w:val="6705CA7A"/>
    <w:rsid w:val="67246804"/>
    <w:rsid w:val="67584E8F"/>
    <w:rsid w:val="68A19ADB"/>
    <w:rsid w:val="6A3D6B3C"/>
    <w:rsid w:val="6CB27E98"/>
    <w:rsid w:val="6EFEFD0F"/>
    <w:rsid w:val="74B536BA"/>
    <w:rsid w:val="7588B7F0"/>
    <w:rsid w:val="761283D1"/>
    <w:rsid w:val="78B4E695"/>
    <w:rsid w:val="7ECA8FCB"/>
    <w:rsid w:val="7FF4B60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E2AD047"/>
  <w15:chartTrackingRefBased/>
  <w15:docId w15:val="{CB370596-9354-44B9-8F40-AD5FEBCC10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MS Mincho"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Pr>
      <w:sz w:val="24"/>
      <w:szCs w:val="24"/>
      <w:lang w:val="en-US" w:eastAsia="en-U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rPr>
      <w:color w:val="0000FF"/>
      <w:u w:val="single"/>
    </w:rPr>
  </w:style>
  <w:style w:type="paragraph" w:styleId="a4">
    <w:name w:val="Plain Text"/>
    <w:basedOn w:val="a"/>
    <w:rPr>
      <w:rFonts w:ascii="Courier New" w:hAnsi="Courier New"/>
      <w:sz w:val="20"/>
      <w:lang w:val="hr-HR" w:eastAsia="de-DE"/>
    </w:rPr>
  </w:style>
  <w:style w:type="character" w:styleId="a5">
    <w:name w:val="Strong"/>
    <w:qFormat/>
    <w:rPr>
      <w:b/>
    </w:rPr>
  </w:style>
  <w:style w:type="paragraph" w:styleId="a6">
    <w:name w:val="header"/>
    <w:basedOn w:val="a"/>
    <w:link w:val="a7"/>
    <w:uiPriority w:val="99"/>
    <w:pPr>
      <w:tabs>
        <w:tab w:val="center" w:pos="4320"/>
        <w:tab w:val="right" w:pos="8640"/>
      </w:tabs>
    </w:pPr>
  </w:style>
  <w:style w:type="paragraph" w:styleId="a8">
    <w:name w:val="footer"/>
    <w:basedOn w:val="a"/>
    <w:pPr>
      <w:tabs>
        <w:tab w:val="center" w:pos="4320"/>
        <w:tab w:val="right" w:pos="8640"/>
      </w:tabs>
    </w:pPr>
  </w:style>
  <w:style w:type="character" w:styleId="emailstyle17" w:customStyle="1">
    <w:name w:val="emailstyle17"/>
    <w:semiHidden/>
    <w:rPr>
      <w:rFonts w:hint="default" w:ascii="Arial" w:hAnsi="Arial" w:cs="Arial"/>
      <w:color w:val="auto"/>
      <w:sz w:val="20"/>
      <w:szCs w:val="20"/>
    </w:rPr>
  </w:style>
  <w:style w:type="paragraph" w:styleId="a9">
    <w:name w:val="Document Map"/>
    <w:basedOn w:val="a"/>
    <w:semiHidden/>
    <w:pPr>
      <w:shd w:val="clear" w:color="auto" w:fill="000080"/>
    </w:pPr>
    <w:rPr>
      <w:rFonts w:ascii="Tahoma" w:hAnsi="Tahoma" w:cs="Tahoma"/>
      <w:sz w:val="20"/>
      <w:szCs w:val="20"/>
    </w:rPr>
  </w:style>
  <w:style w:type="character" w:styleId="a7" w:customStyle="1">
    <w:name w:val="頁首 字元"/>
    <w:link w:val="a6"/>
    <w:uiPriority w:val="99"/>
    <w:rsid w:val="007378A5"/>
    <w:rPr>
      <w:sz w:val="24"/>
      <w:szCs w:val="24"/>
      <w:lang w:eastAsia="en-US"/>
    </w:rPr>
  </w:style>
  <w:style w:type="paragraph" w:styleId="aa">
    <w:name w:val="Balloon Text"/>
    <w:basedOn w:val="a"/>
    <w:link w:val="ab"/>
    <w:rsid w:val="007378A5"/>
    <w:rPr>
      <w:rFonts w:ascii="Arial" w:hAnsi="Arial" w:eastAsia="MS Gothic"/>
      <w:sz w:val="18"/>
      <w:szCs w:val="18"/>
    </w:rPr>
  </w:style>
  <w:style w:type="character" w:styleId="ab" w:customStyle="1">
    <w:name w:val="註解方塊文字 字元"/>
    <w:link w:val="aa"/>
    <w:rsid w:val="007378A5"/>
    <w:rPr>
      <w:rFonts w:ascii="Arial" w:hAnsi="Arial" w:eastAsia="MS Gothic" w:cs="Times New Roman"/>
      <w:sz w:val="18"/>
      <w:szCs w:val="18"/>
      <w:lang w:eastAsia="en-US"/>
    </w:rPr>
  </w:style>
  <w:style w:type="table" w:styleId="ac">
    <w:name w:val="Table Grid"/>
    <w:basedOn w:val="a1"/>
    <w:rsid w:val="002248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d">
    <w:name w:val="Revision"/>
    <w:hidden/>
    <w:uiPriority w:val="99"/>
    <w:semiHidden/>
    <w:rsid w:val="0050484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IMS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INSTRUCTIONS FOR PREPARING PAPERS FOR IFMBE PROCEEDINGS SERIES (ICBME 2005)</dc:title>
  <dc:subject/>
  <dc:creator>Lee Fong</dc:creator>
  <keywords/>
  <lastModifiedBy>CHAN YUNG HAU</lastModifiedBy>
  <revision>110</revision>
  <lastPrinted>2015-12-02T07:41:00.0000000Z</lastPrinted>
  <dcterms:created xsi:type="dcterms:W3CDTF">2018-12-06T02:03:00.0000000Z</dcterms:created>
  <dcterms:modified xsi:type="dcterms:W3CDTF">2023-08-28T06:33:59.5809344Z</dcterms:modified>
</coreProperties>
</file>