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16784" w14:textId="77777777" w:rsidR="00A94A51" w:rsidRDefault="00A94A51">
      <w:pPr>
        <w:jc w:val="center"/>
        <w:outlineLvl w:val="0"/>
        <w:rPr>
          <w:b/>
          <w:lang w:val="en-GB"/>
        </w:rPr>
      </w:pPr>
      <w:r>
        <w:rPr>
          <w:b/>
          <w:lang w:val="en-GB"/>
        </w:rPr>
        <w:t xml:space="preserve"> </w:t>
      </w:r>
    </w:p>
    <w:p w14:paraId="730667F4" w14:textId="77777777" w:rsidR="00B25DB1" w:rsidRDefault="002539A4" w:rsidP="00B25DB1">
      <w:pPr>
        <w:pStyle w:val="NormalWeb"/>
        <w:spacing w:before="300" w:beforeAutospacing="0" w:after="300" w:afterAutospacing="0"/>
        <w:jc w:val="center"/>
        <w:rPr>
          <w:b/>
          <w:color w:val="374151"/>
        </w:rPr>
      </w:pPr>
      <w:r w:rsidRPr="00FB70A8">
        <w:rPr>
          <w:b/>
          <w:color w:val="374151"/>
        </w:rPr>
        <w:t xml:space="preserve">DATA-INFORMED DESIGN THINKING FOR SUSTAINABILITY: </w:t>
      </w:r>
      <w:r w:rsidR="00D21513">
        <w:rPr>
          <w:b/>
          <w:color w:val="374151"/>
        </w:rPr>
        <w:t xml:space="preserve"> </w:t>
      </w:r>
      <w:r w:rsidR="009D3D6E">
        <w:rPr>
          <w:b/>
          <w:color w:val="374151"/>
        </w:rPr>
        <w:br/>
      </w:r>
      <w:r w:rsidR="008E7328">
        <w:rPr>
          <w:b/>
          <w:color w:val="374151"/>
        </w:rPr>
        <w:t xml:space="preserve">An </w:t>
      </w:r>
      <w:r w:rsidR="00D21513" w:rsidRPr="009D3D6E">
        <w:rPr>
          <w:b/>
          <w:color w:val="374151"/>
        </w:rPr>
        <w:t xml:space="preserve">Interdisciplinary </w:t>
      </w:r>
      <w:r w:rsidR="008E7328">
        <w:rPr>
          <w:b/>
          <w:color w:val="374151"/>
        </w:rPr>
        <w:t>Learning Approach</w:t>
      </w:r>
    </w:p>
    <w:p w14:paraId="6619C8DB" w14:textId="751B29C4" w:rsidR="00A94A51" w:rsidRDefault="0057465E" w:rsidP="00B25DB1">
      <w:pPr>
        <w:pStyle w:val="NormalWeb"/>
        <w:spacing w:before="300" w:beforeAutospacing="0" w:after="300" w:afterAutospacing="0"/>
        <w:jc w:val="center"/>
        <w:rPr>
          <w:lang w:val="en-GB" w:eastAsia="en-US"/>
        </w:rPr>
      </w:pPr>
      <w:r>
        <w:t xml:space="preserve">Marta </w:t>
      </w:r>
      <w:proofErr w:type="spellStart"/>
      <w:r>
        <w:t>Godinho</w:t>
      </w:r>
      <w:proofErr w:type="spellEnd"/>
      <w:r>
        <w:t xml:space="preserve"> Miguel</w:t>
      </w:r>
      <w:r w:rsidR="00B25DB1" w:rsidRPr="00B25DB1">
        <w:rPr>
          <w:vertAlign w:val="superscript"/>
          <w:lang w:val="en-GB"/>
        </w:rPr>
        <w:t xml:space="preserve"> </w:t>
      </w:r>
      <w:proofErr w:type="gramStart"/>
      <w:r w:rsidR="00B25DB1">
        <w:rPr>
          <w:vertAlign w:val="superscript"/>
          <w:lang w:val="en-GB"/>
        </w:rPr>
        <w:t>a</w:t>
      </w:r>
      <w:r>
        <w:rPr>
          <w:vertAlign w:val="superscript"/>
          <w:lang w:val="en-GB"/>
        </w:rPr>
        <w:t xml:space="preserve"> </w:t>
      </w:r>
      <w:r>
        <w:rPr>
          <w:lang w:val="en-GB"/>
        </w:rPr>
        <w:t>and</w:t>
      </w:r>
      <w:proofErr w:type="gramEnd"/>
      <w:r>
        <w:rPr>
          <w:lang w:val="en-GB"/>
        </w:rPr>
        <w:t xml:space="preserve"> Shruti Pilare</w:t>
      </w:r>
      <w:r w:rsidR="00B25DB1" w:rsidRPr="00B25DB1">
        <w:rPr>
          <w:vertAlign w:val="superscript"/>
          <w:lang w:val="en-GB"/>
        </w:rPr>
        <w:t xml:space="preserve"> </w:t>
      </w:r>
      <w:r w:rsidR="00B25DB1">
        <w:rPr>
          <w:vertAlign w:val="superscript"/>
          <w:lang w:val="en-GB"/>
        </w:rPr>
        <w:t>b</w:t>
      </w:r>
    </w:p>
    <w:p w14:paraId="3108F30B" w14:textId="4E717157" w:rsidR="00A94A51" w:rsidRDefault="00B25DB1">
      <w:pPr>
        <w:pStyle w:val="PlainText"/>
        <w:jc w:val="center"/>
        <w:rPr>
          <w:rFonts w:ascii="Times New Roman" w:hAnsi="Times New Roman"/>
          <w:sz w:val="24"/>
          <w:lang w:val="en-GB"/>
        </w:rPr>
      </w:pPr>
      <w:r>
        <w:rPr>
          <w:rFonts w:ascii="Times New Roman" w:hAnsi="Times New Roman"/>
          <w:sz w:val="24"/>
          <w:vertAlign w:val="superscript"/>
          <w:lang w:val="en-GB"/>
        </w:rPr>
        <w:t>a</w:t>
      </w:r>
      <w:r w:rsidR="00A94A51" w:rsidRPr="003E0719">
        <w:rPr>
          <w:rFonts w:ascii="Times New Roman" w:hAnsi="Times New Roman"/>
          <w:sz w:val="24"/>
          <w:lang w:val="en-GB"/>
        </w:rPr>
        <w:t xml:space="preserve"> </w:t>
      </w:r>
      <w:r w:rsidR="00D4303A">
        <w:rPr>
          <w:rFonts w:ascii="Times New Roman" w:hAnsi="Times New Roman"/>
          <w:sz w:val="24"/>
          <w:lang w:val="en-GB"/>
        </w:rPr>
        <w:t>Temasek Polytechnic</w:t>
      </w:r>
      <w:r w:rsidR="00A94A51" w:rsidRPr="003E0719">
        <w:rPr>
          <w:rFonts w:ascii="Times New Roman" w:hAnsi="Times New Roman"/>
          <w:sz w:val="24"/>
          <w:lang w:val="en-GB"/>
        </w:rPr>
        <w:t>/</w:t>
      </w:r>
      <w:r w:rsidR="00D8409F">
        <w:rPr>
          <w:rFonts w:ascii="Times New Roman" w:hAnsi="Times New Roman"/>
          <w:sz w:val="24"/>
          <w:lang w:val="en-GB"/>
        </w:rPr>
        <w:t>School of Design</w:t>
      </w:r>
      <w:r w:rsidR="00A94A51" w:rsidRPr="003E0719">
        <w:rPr>
          <w:rFonts w:ascii="Times New Roman" w:hAnsi="Times New Roman"/>
          <w:sz w:val="24"/>
          <w:lang w:val="en-GB"/>
        </w:rPr>
        <w:t>,</w:t>
      </w:r>
      <w:r w:rsidR="006F5864">
        <w:rPr>
          <w:rFonts w:ascii="Times New Roman" w:hAnsi="Times New Roman"/>
          <w:sz w:val="24"/>
          <w:lang w:val="en-GB"/>
        </w:rPr>
        <w:t xml:space="preserve"> diploma in </w:t>
      </w:r>
      <w:r w:rsidR="00AE0421">
        <w:rPr>
          <w:rFonts w:ascii="Times New Roman" w:hAnsi="Times New Roman"/>
          <w:sz w:val="24"/>
          <w:lang w:val="en-GB"/>
        </w:rPr>
        <w:t>Interior Architecture &amp; Design</w:t>
      </w:r>
      <w:r w:rsidR="00A94A51" w:rsidRPr="003E0719">
        <w:rPr>
          <w:rFonts w:ascii="Times New Roman" w:hAnsi="Times New Roman"/>
          <w:sz w:val="24"/>
          <w:lang w:val="en-GB"/>
        </w:rPr>
        <w:t>,</w:t>
      </w:r>
      <w:r w:rsidR="00AE0421">
        <w:rPr>
          <w:rFonts w:ascii="Times New Roman" w:hAnsi="Times New Roman"/>
          <w:sz w:val="24"/>
          <w:lang w:val="en-GB"/>
        </w:rPr>
        <w:t xml:space="preserve"> Singapore</w:t>
      </w:r>
    </w:p>
    <w:p w14:paraId="318E5270" w14:textId="4901D586" w:rsidR="00B25DB1" w:rsidRPr="003E0719" w:rsidRDefault="00B25DB1">
      <w:pPr>
        <w:pStyle w:val="PlainText"/>
        <w:jc w:val="center"/>
        <w:rPr>
          <w:rFonts w:ascii="Times New Roman" w:hAnsi="Times New Roman"/>
          <w:sz w:val="24"/>
          <w:lang w:val="en-GB"/>
        </w:rPr>
      </w:pPr>
      <w:r>
        <w:rPr>
          <w:rFonts w:ascii="Times New Roman" w:hAnsi="Times New Roman"/>
          <w:sz w:val="24"/>
          <w:vertAlign w:val="superscript"/>
          <w:lang w:val="en-GB"/>
        </w:rPr>
        <w:t xml:space="preserve">b </w:t>
      </w:r>
      <w:r>
        <w:rPr>
          <w:rFonts w:ascii="Times New Roman" w:hAnsi="Times New Roman"/>
          <w:sz w:val="24"/>
          <w:lang w:val="en-GB"/>
        </w:rPr>
        <w:t>Temasek Polytechnic</w:t>
      </w:r>
      <w:r w:rsidRPr="003E0719">
        <w:rPr>
          <w:rFonts w:ascii="Times New Roman" w:hAnsi="Times New Roman"/>
          <w:sz w:val="24"/>
          <w:lang w:val="en-GB"/>
        </w:rPr>
        <w:t>/</w:t>
      </w:r>
      <w:r>
        <w:rPr>
          <w:rFonts w:ascii="Times New Roman" w:hAnsi="Times New Roman"/>
          <w:sz w:val="24"/>
          <w:lang w:val="en-GB"/>
        </w:rPr>
        <w:t>School of Engineering</w:t>
      </w:r>
      <w:r w:rsidRPr="003E0719">
        <w:rPr>
          <w:rFonts w:ascii="Times New Roman" w:hAnsi="Times New Roman"/>
          <w:sz w:val="24"/>
          <w:lang w:val="en-GB"/>
        </w:rPr>
        <w:t xml:space="preserve">, </w:t>
      </w:r>
      <w:r>
        <w:rPr>
          <w:rFonts w:ascii="Times New Roman" w:hAnsi="Times New Roman"/>
          <w:sz w:val="24"/>
          <w:lang w:val="en-GB"/>
        </w:rPr>
        <w:t>diploma in Architectural Technology &amp; Building Services</w:t>
      </w:r>
      <w:r w:rsidRPr="003E0719">
        <w:rPr>
          <w:rFonts w:ascii="Times New Roman" w:hAnsi="Times New Roman"/>
          <w:sz w:val="24"/>
          <w:lang w:val="en-GB"/>
        </w:rPr>
        <w:t xml:space="preserve">, </w:t>
      </w:r>
      <w:r>
        <w:rPr>
          <w:rFonts w:ascii="Times New Roman" w:hAnsi="Times New Roman"/>
          <w:sz w:val="24"/>
          <w:lang w:val="en-GB"/>
        </w:rPr>
        <w:t>Singapore</w:t>
      </w:r>
    </w:p>
    <w:p w14:paraId="3F60A87D" w14:textId="77777777" w:rsidR="00A94A51" w:rsidRPr="003E0719" w:rsidRDefault="00A94A51">
      <w:pPr>
        <w:pStyle w:val="PlainText"/>
        <w:jc w:val="center"/>
        <w:rPr>
          <w:rFonts w:ascii="Times New Roman" w:hAnsi="Times New Roman"/>
          <w:sz w:val="24"/>
          <w:lang w:val="en-GB"/>
        </w:rPr>
      </w:pPr>
    </w:p>
    <w:p w14:paraId="765C155C" w14:textId="77777777" w:rsidR="00B25DB1" w:rsidRDefault="000A25DD" w:rsidP="00B25DB1">
      <w:pPr>
        <w:pStyle w:val="PlainText"/>
        <w:jc w:val="center"/>
        <w:outlineLvl w:val="0"/>
        <w:rPr>
          <w:rFonts w:ascii="Times New Roman" w:hAnsi="Times New Roman"/>
          <w:sz w:val="24"/>
          <w:lang w:val="en-GB"/>
        </w:rPr>
      </w:pPr>
      <w:hyperlink r:id="rId8" w:history="1">
        <w:r w:rsidR="00B25DB1" w:rsidRPr="0036542E">
          <w:rPr>
            <w:rStyle w:val="Hyperlink"/>
            <w:rFonts w:ascii="Times New Roman" w:hAnsi="Times New Roman"/>
            <w:sz w:val="24"/>
            <w:lang w:val="en-GB"/>
          </w:rPr>
          <w:t>marta_godinho_miguel@tp.edu.sg</w:t>
        </w:r>
      </w:hyperlink>
    </w:p>
    <w:p w14:paraId="7A2CA5CA" w14:textId="5C09126F" w:rsidR="00A94A51" w:rsidRDefault="000A25DD">
      <w:pPr>
        <w:pStyle w:val="PlainText"/>
        <w:jc w:val="center"/>
        <w:outlineLvl w:val="0"/>
        <w:rPr>
          <w:rStyle w:val="Hyperlink"/>
          <w:rFonts w:ascii="Times New Roman" w:hAnsi="Times New Roman"/>
          <w:sz w:val="24"/>
          <w:lang w:val="en-GB"/>
        </w:rPr>
      </w:pPr>
      <w:hyperlink r:id="rId9" w:history="1">
        <w:r w:rsidR="008116BB" w:rsidRPr="00B06E38">
          <w:rPr>
            <w:rStyle w:val="Hyperlink"/>
            <w:rFonts w:ascii="Times New Roman" w:hAnsi="Times New Roman"/>
            <w:sz w:val="24"/>
            <w:lang w:val="en-GB"/>
          </w:rPr>
          <w:t>shruti_pilare@tp.edu.sg</w:t>
        </w:r>
      </w:hyperlink>
    </w:p>
    <w:p w14:paraId="6B10153A" w14:textId="77777777" w:rsidR="008A0141" w:rsidRDefault="008A0141">
      <w:pPr>
        <w:pStyle w:val="PlainText"/>
        <w:jc w:val="center"/>
        <w:outlineLvl w:val="0"/>
        <w:rPr>
          <w:rFonts w:ascii="Times New Roman" w:hAnsi="Times New Roman"/>
          <w:sz w:val="24"/>
          <w:lang w:val="en-GB"/>
        </w:rPr>
      </w:pPr>
    </w:p>
    <w:p w14:paraId="610F6BA8" w14:textId="77777777" w:rsidR="00A94A51" w:rsidRPr="003E0719" w:rsidRDefault="00A94A51">
      <w:pPr>
        <w:pStyle w:val="PlainText"/>
        <w:jc w:val="both"/>
        <w:rPr>
          <w:rFonts w:ascii="Times New Roman" w:hAnsi="Times New Roman"/>
          <w:lang w:val="en-GB"/>
        </w:rPr>
      </w:pPr>
    </w:p>
    <w:p w14:paraId="27A204F8" w14:textId="77777777" w:rsidR="00A94A51" w:rsidRPr="003E0719" w:rsidRDefault="00A94A51">
      <w:pPr>
        <w:pStyle w:val="PlainText"/>
        <w:jc w:val="both"/>
        <w:rPr>
          <w:rFonts w:ascii="Times New Roman" w:hAnsi="Times New Roman"/>
          <w:lang w:val="en-GB"/>
        </w:rPr>
        <w:sectPr w:rsidR="00A94A51" w:rsidRPr="003E0719" w:rsidSect="00A43253">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8" w:right="1134" w:bottom="1134" w:left="1134" w:header="720" w:footer="720" w:gutter="0"/>
          <w:pgNumType w:start="0"/>
          <w:cols w:space="708"/>
          <w:docGrid w:linePitch="360"/>
        </w:sectPr>
      </w:pPr>
    </w:p>
    <w:p w14:paraId="0DA55804" w14:textId="69F4FEE8" w:rsidR="00A94A51" w:rsidRPr="003E0719" w:rsidRDefault="00A94A51">
      <w:pPr>
        <w:pStyle w:val="PlainText"/>
        <w:jc w:val="both"/>
        <w:rPr>
          <w:rFonts w:ascii="Times New Roman" w:hAnsi="Times New Roman"/>
          <w:b/>
          <w:lang w:val="en-GB"/>
        </w:rPr>
      </w:pPr>
      <w:r w:rsidRPr="003E0719">
        <w:rPr>
          <w:rFonts w:ascii="Times New Roman" w:hAnsi="Times New Roman"/>
          <w:b/>
          <w:lang w:val="en-GB"/>
        </w:rPr>
        <w:t>Abstract</w:t>
      </w:r>
      <w:r w:rsidR="009D3D6E">
        <w:rPr>
          <w:rFonts w:ascii="Times New Roman" w:hAnsi="Times New Roman"/>
          <w:b/>
          <w:lang w:val="en-GB"/>
        </w:rPr>
        <w:br/>
      </w:r>
    </w:p>
    <w:p w14:paraId="0D78169D" w14:textId="70405896" w:rsidR="009D3D6E" w:rsidRPr="009D3D6E" w:rsidRDefault="009D3D6E" w:rsidP="009D3D6E">
      <w:pPr>
        <w:pStyle w:val="PlainText"/>
        <w:contextualSpacing/>
        <w:rPr>
          <w:rFonts w:ascii="Times New Roman" w:hAnsi="Times New Roman"/>
          <w:b/>
          <w:color w:val="374151"/>
          <w:szCs w:val="20"/>
        </w:rPr>
      </w:pPr>
      <w:r w:rsidRPr="009D3D6E">
        <w:rPr>
          <w:rFonts w:ascii="Times New Roman" w:hAnsi="Times New Roman"/>
          <w:b/>
          <w:color w:val="374151"/>
          <w:szCs w:val="20"/>
        </w:rPr>
        <w:t>Data-informed design thinking (DIDT) is a collaborative approach to problem-solving that combines design thinking principles with data analysis. By incorporating a range of data sources, multidisciplinary teams can effectively address complex issues and develop relevant solutions that better meet the needs of end-users. The A</w:t>
      </w:r>
      <w:r w:rsidR="00603294">
        <w:rPr>
          <w:rFonts w:ascii="Times New Roman" w:hAnsi="Times New Roman"/>
          <w:b/>
          <w:color w:val="374151"/>
          <w:szCs w:val="20"/>
        </w:rPr>
        <w:t xml:space="preserve">pex  Harmony lodge (AHL) </w:t>
      </w:r>
      <w:r w:rsidRPr="009D3D6E">
        <w:rPr>
          <w:rFonts w:ascii="Times New Roman" w:hAnsi="Times New Roman"/>
          <w:b/>
          <w:color w:val="374151"/>
          <w:szCs w:val="20"/>
        </w:rPr>
        <w:t xml:space="preserve"> project serves as a case study demonstrating how DIDT enhances student learning by helping them to ground their design solutions in evidence and data.</w:t>
      </w:r>
    </w:p>
    <w:p w14:paraId="5ED17CFF" w14:textId="04BACDDC" w:rsidR="009D3D6E" w:rsidRPr="009D3D6E" w:rsidRDefault="009D3D6E" w:rsidP="009D3D6E">
      <w:pPr>
        <w:pStyle w:val="PlainText"/>
        <w:contextualSpacing/>
        <w:rPr>
          <w:rFonts w:ascii="Times New Roman" w:hAnsi="Times New Roman"/>
          <w:b/>
          <w:color w:val="374151"/>
          <w:szCs w:val="20"/>
        </w:rPr>
      </w:pPr>
      <w:r w:rsidRPr="009D3D6E">
        <w:rPr>
          <w:rFonts w:ascii="Times New Roman" w:hAnsi="Times New Roman"/>
          <w:b/>
          <w:color w:val="374151"/>
          <w:szCs w:val="20"/>
        </w:rPr>
        <w:t xml:space="preserve">The project involved collaboration between students from different schools to enhance the liveability and sustainability of a residential healthcare facility for patients with dementia. The students used digital technologies to manage and integrate data and better understand and articulate architectural design and the physical environment. They also used the design process as a framework to integrate vast amounts of data and translate complex information into objective outcomes. </w:t>
      </w:r>
    </w:p>
    <w:p w14:paraId="74631222" w14:textId="691B7E84" w:rsidR="009D3D6E" w:rsidRPr="009D3D6E" w:rsidRDefault="009D3D6E" w:rsidP="009D3D6E">
      <w:pPr>
        <w:pStyle w:val="PlainText"/>
        <w:contextualSpacing/>
        <w:rPr>
          <w:rFonts w:ascii="Times New Roman" w:hAnsi="Times New Roman"/>
          <w:b/>
          <w:color w:val="374151"/>
          <w:szCs w:val="20"/>
        </w:rPr>
      </w:pPr>
      <w:r w:rsidRPr="009D3D6E">
        <w:rPr>
          <w:rFonts w:ascii="Times New Roman" w:hAnsi="Times New Roman"/>
          <w:b/>
          <w:color w:val="374151"/>
          <w:szCs w:val="20"/>
        </w:rPr>
        <w:t xml:space="preserve">The empathy stage of DIDT involved research to gain an understanding of the needs of the users. The data collected informed the design, visualization, resulting in better-tailored solutions that improved the overall effectiveness of the design process. Students synthesized their research findings, analysed key information to generate and evaluate potential solutions, and prototyped and tested their solutions to ensure they met the needs and expectations of users and stakeholders. </w:t>
      </w:r>
    </w:p>
    <w:p w14:paraId="17BBA58E" w14:textId="6F936A13" w:rsidR="009D3D6E" w:rsidRPr="009D3D6E" w:rsidRDefault="009D3D6E" w:rsidP="009D3D6E">
      <w:pPr>
        <w:pStyle w:val="PlainText"/>
        <w:contextualSpacing/>
        <w:rPr>
          <w:rFonts w:ascii="Times New Roman" w:hAnsi="Times New Roman"/>
          <w:b/>
          <w:color w:val="374151"/>
          <w:szCs w:val="20"/>
        </w:rPr>
      </w:pPr>
      <w:r w:rsidRPr="009D3D6E">
        <w:rPr>
          <w:rFonts w:ascii="Times New Roman" w:hAnsi="Times New Roman"/>
          <w:b/>
          <w:color w:val="374151"/>
          <w:szCs w:val="20"/>
        </w:rPr>
        <w:t xml:space="preserve">The use of data analysis facilitated problem-solving by providing valuable insights into complex problems. It grounded designs in evidence and data, justifying design decisions and fostering accountability. Additionally, the </w:t>
      </w:r>
      <w:r w:rsidR="00603294" w:rsidRPr="00366248">
        <w:rPr>
          <w:rFonts w:ascii="Times New Roman" w:hAnsi="Times New Roman"/>
          <w:b/>
          <w:color w:val="374151"/>
          <w:szCs w:val="20"/>
        </w:rPr>
        <w:t xml:space="preserve">interdisciplinary </w:t>
      </w:r>
      <w:r w:rsidRPr="009D3D6E">
        <w:rPr>
          <w:rFonts w:ascii="Times New Roman" w:hAnsi="Times New Roman"/>
          <w:b/>
          <w:color w:val="374151"/>
          <w:szCs w:val="20"/>
        </w:rPr>
        <w:t xml:space="preserve"> learning approach helped to nurture and train a new generation of critical thinkers and doers to be ready for our ever-changing job market.</w:t>
      </w:r>
    </w:p>
    <w:p w14:paraId="14CAEE2A" w14:textId="77777777" w:rsidR="009D3D6E" w:rsidRPr="009D3D6E" w:rsidRDefault="009D3D6E" w:rsidP="009D3D6E">
      <w:pPr>
        <w:pStyle w:val="PlainText"/>
        <w:contextualSpacing/>
        <w:rPr>
          <w:rFonts w:ascii="Times New Roman" w:hAnsi="Times New Roman"/>
          <w:b/>
          <w:color w:val="374151"/>
          <w:szCs w:val="20"/>
        </w:rPr>
      </w:pPr>
      <w:r w:rsidRPr="009D3D6E">
        <w:rPr>
          <w:rFonts w:ascii="Times New Roman" w:hAnsi="Times New Roman"/>
          <w:b/>
          <w:color w:val="374151"/>
          <w:szCs w:val="20"/>
        </w:rPr>
        <w:t xml:space="preserve">Teaching DIDT to students is imperative due to the rising demand for data-driven decision-making in today's organizations. Adopting DIDT helps students </w:t>
      </w:r>
      <w:r w:rsidRPr="009D3D6E">
        <w:rPr>
          <w:rFonts w:ascii="Times New Roman" w:hAnsi="Times New Roman"/>
          <w:b/>
          <w:color w:val="374151"/>
          <w:szCs w:val="20"/>
        </w:rPr>
        <w:t xml:space="preserve">create more efficient products and equip students with crucial skills for succeeding in the modern workplace while addressing user needs. </w:t>
      </w:r>
    </w:p>
    <w:p w14:paraId="481F6FDD" w14:textId="77777777" w:rsidR="009D3D6E" w:rsidRPr="009D3D6E" w:rsidRDefault="009D3D6E" w:rsidP="009D3D6E">
      <w:pPr>
        <w:pStyle w:val="PlainText"/>
        <w:contextualSpacing/>
        <w:rPr>
          <w:rFonts w:ascii="Times New Roman" w:hAnsi="Times New Roman"/>
          <w:b/>
          <w:color w:val="374151"/>
          <w:szCs w:val="20"/>
        </w:rPr>
      </w:pPr>
      <w:r w:rsidRPr="009D3D6E">
        <w:rPr>
          <w:rFonts w:ascii="Times New Roman" w:hAnsi="Times New Roman"/>
          <w:b/>
          <w:color w:val="374151"/>
          <w:szCs w:val="20"/>
        </w:rPr>
        <w:t xml:space="preserve">Data extracted from performance-based design analysis simulations such as air flow and solar analysis, energy-modelling, and carbon life cycle analysis, influenced the sustainable building design. The students used integrated spatial analytical models, including computational simulations, to quantify and measure sustainable design performance in AHL. </w:t>
      </w:r>
    </w:p>
    <w:p w14:paraId="6B4EA553" w14:textId="39C6C26A" w:rsidR="009D3D6E" w:rsidRPr="009D3D6E" w:rsidRDefault="009D3D6E" w:rsidP="009D3D6E">
      <w:pPr>
        <w:pStyle w:val="PlainText"/>
        <w:contextualSpacing/>
        <w:rPr>
          <w:rFonts w:ascii="Times New Roman" w:hAnsi="Times New Roman"/>
          <w:b/>
          <w:color w:val="374151"/>
          <w:szCs w:val="20"/>
        </w:rPr>
      </w:pPr>
      <w:r w:rsidRPr="009D3D6E">
        <w:rPr>
          <w:rFonts w:ascii="Times New Roman" w:hAnsi="Times New Roman"/>
          <w:b/>
          <w:color w:val="374151"/>
          <w:szCs w:val="20"/>
        </w:rPr>
        <w:t xml:space="preserve">AHL Client engagement makes this </w:t>
      </w:r>
      <w:r w:rsidR="00603294">
        <w:rPr>
          <w:rFonts w:ascii="Times New Roman" w:hAnsi="Times New Roman"/>
          <w:b/>
          <w:color w:val="374151"/>
          <w:szCs w:val="20"/>
        </w:rPr>
        <w:t>Interdesciplinary learning (</w:t>
      </w:r>
      <w:r w:rsidRPr="009D3D6E">
        <w:rPr>
          <w:rFonts w:ascii="Times New Roman" w:hAnsi="Times New Roman"/>
          <w:b/>
          <w:color w:val="374151"/>
          <w:szCs w:val="20"/>
        </w:rPr>
        <w:t>IDL</w:t>
      </w:r>
      <w:r w:rsidR="00603294">
        <w:rPr>
          <w:rFonts w:ascii="Times New Roman" w:hAnsi="Times New Roman"/>
          <w:b/>
          <w:color w:val="374151"/>
          <w:szCs w:val="20"/>
        </w:rPr>
        <w:t>)</w:t>
      </w:r>
      <w:r w:rsidRPr="009D3D6E">
        <w:rPr>
          <w:rFonts w:ascii="Times New Roman" w:hAnsi="Times New Roman"/>
          <w:b/>
          <w:color w:val="374151"/>
          <w:szCs w:val="20"/>
        </w:rPr>
        <w:t xml:space="preserve"> setting authentic for student learning, exposing them to </w:t>
      </w:r>
      <w:r w:rsidR="00603294">
        <w:rPr>
          <w:rFonts w:ascii="Times New Roman" w:hAnsi="Times New Roman"/>
          <w:b/>
          <w:color w:val="374151"/>
          <w:szCs w:val="20"/>
        </w:rPr>
        <w:t xml:space="preserve">the </w:t>
      </w:r>
      <w:r w:rsidRPr="009D3D6E">
        <w:rPr>
          <w:rFonts w:ascii="Times New Roman" w:hAnsi="Times New Roman"/>
          <w:b/>
          <w:color w:val="374151"/>
          <w:szCs w:val="20"/>
        </w:rPr>
        <w:t>realities of work-life. In conclusion, DIDT is an effective approach to problem-solving and decision-making that leverages information to drive innovation.</w:t>
      </w:r>
      <w:r>
        <w:rPr>
          <w:rFonts w:ascii="Times New Roman" w:hAnsi="Times New Roman"/>
          <w:b/>
          <w:color w:val="374151"/>
          <w:szCs w:val="20"/>
        </w:rPr>
        <w:br/>
      </w:r>
    </w:p>
    <w:p w14:paraId="2D65FEA1" w14:textId="607FF023" w:rsidR="00A94A51" w:rsidRPr="003E0719" w:rsidRDefault="00A94A51" w:rsidP="00EE032F">
      <w:pPr>
        <w:pStyle w:val="PlainText"/>
        <w:ind w:left="2"/>
        <w:rPr>
          <w:rFonts w:ascii="Times New Roman" w:hAnsi="Times New Roman"/>
          <w:bCs/>
          <w:lang w:val="en-GB" w:eastAsia="ja-JP"/>
        </w:rPr>
      </w:pPr>
      <w:r w:rsidRPr="003E0719">
        <w:rPr>
          <w:rFonts w:ascii="Times New Roman" w:hAnsi="Times New Roman" w:hint="eastAsia"/>
          <w:b/>
          <w:lang w:val="en-GB" w:eastAsia="ja-JP"/>
        </w:rPr>
        <w:t xml:space="preserve">Keywords: </w:t>
      </w:r>
      <w:r w:rsidR="002047EC">
        <w:rPr>
          <w:rFonts w:ascii="Times New Roman" w:hAnsi="Times New Roman"/>
          <w:bCs/>
          <w:i/>
          <w:iCs/>
          <w:lang w:val="en-GB" w:eastAsia="ja-JP"/>
        </w:rPr>
        <w:t>s</w:t>
      </w:r>
      <w:r w:rsidR="000D0236" w:rsidRPr="000D0236">
        <w:rPr>
          <w:rFonts w:ascii="Times New Roman" w:hAnsi="Times New Roman"/>
          <w:bCs/>
          <w:i/>
          <w:iCs/>
          <w:lang w:val="en-GB" w:eastAsia="ja-JP"/>
        </w:rPr>
        <w:t xml:space="preserve">ustainable </w:t>
      </w:r>
      <w:r w:rsidR="002047EC">
        <w:rPr>
          <w:rFonts w:ascii="Times New Roman" w:hAnsi="Times New Roman"/>
          <w:bCs/>
          <w:i/>
          <w:iCs/>
          <w:lang w:val="en-GB" w:eastAsia="ja-JP"/>
        </w:rPr>
        <w:t>d</w:t>
      </w:r>
      <w:r w:rsidR="000D0236" w:rsidRPr="000D0236">
        <w:rPr>
          <w:rFonts w:ascii="Times New Roman" w:hAnsi="Times New Roman"/>
          <w:bCs/>
          <w:i/>
          <w:iCs/>
          <w:lang w:val="en-GB" w:eastAsia="ja-JP"/>
        </w:rPr>
        <w:t xml:space="preserve">esign, </w:t>
      </w:r>
      <w:r w:rsidR="002047EC">
        <w:rPr>
          <w:rFonts w:ascii="Times New Roman" w:hAnsi="Times New Roman"/>
          <w:bCs/>
          <w:i/>
          <w:iCs/>
          <w:lang w:val="en-GB" w:eastAsia="ja-JP"/>
        </w:rPr>
        <w:t>i</w:t>
      </w:r>
      <w:r w:rsidR="000D0236" w:rsidRPr="000D0236">
        <w:rPr>
          <w:rFonts w:ascii="Times New Roman" w:hAnsi="Times New Roman"/>
          <w:bCs/>
          <w:i/>
          <w:iCs/>
          <w:lang w:val="en-GB" w:eastAsia="ja-JP"/>
        </w:rPr>
        <w:t xml:space="preserve">ntegrative learning, </w:t>
      </w:r>
      <w:r w:rsidR="002047EC">
        <w:rPr>
          <w:rFonts w:ascii="Times New Roman" w:hAnsi="Times New Roman"/>
          <w:bCs/>
          <w:i/>
          <w:iCs/>
          <w:lang w:val="en-GB" w:eastAsia="ja-JP"/>
        </w:rPr>
        <w:t>i</w:t>
      </w:r>
      <w:r w:rsidR="000D0236" w:rsidRPr="000D0236">
        <w:rPr>
          <w:rFonts w:ascii="Times New Roman" w:hAnsi="Times New Roman"/>
          <w:bCs/>
          <w:i/>
          <w:iCs/>
          <w:lang w:val="en-GB" w:eastAsia="ja-JP"/>
        </w:rPr>
        <w:t xml:space="preserve">ndustry engagement, </w:t>
      </w:r>
      <w:r w:rsidR="002047EC">
        <w:rPr>
          <w:rFonts w:ascii="Times New Roman" w:hAnsi="Times New Roman"/>
          <w:bCs/>
          <w:i/>
          <w:iCs/>
          <w:lang w:val="en-GB" w:eastAsia="ja-JP"/>
        </w:rPr>
        <w:t>i</w:t>
      </w:r>
      <w:r w:rsidR="000D0236" w:rsidRPr="000D0236">
        <w:rPr>
          <w:rFonts w:ascii="Times New Roman" w:hAnsi="Times New Roman"/>
          <w:bCs/>
          <w:i/>
          <w:iCs/>
          <w:lang w:val="en-GB" w:eastAsia="ja-JP"/>
        </w:rPr>
        <w:t xml:space="preserve">nterdisciplinary learning, </w:t>
      </w:r>
      <w:r w:rsidR="002047EC">
        <w:rPr>
          <w:rFonts w:ascii="Times New Roman" w:hAnsi="Times New Roman"/>
          <w:bCs/>
          <w:i/>
          <w:iCs/>
          <w:lang w:val="en-GB" w:eastAsia="ja-JP"/>
        </w:rPr>
        <w:t>d</w:t>
      </w:r>
      <w:r w:rsidR="000D0236" w:rsidRPr="000D0236">
        <w:rPr>
          <w:rFonts w:ascii="Times New Roman" w:hAnsi="Times New Roman"/>
          <w:bCs/>
          <w:i/>
          <w:iCs/>
          <w:lang w:val="en-GB" w:eastAsia="ja-JP"/>
        </w:rPr>
        <w:t>ata-</w:t>
      </w:r>
      <w:r w:rsidR="002047EC">
        <w:rPr>
          <w:rFonts w:ascii="Times New Roman" w:hAnsi="Times New Roman"/>
          <w:bCs/>
          <w:i/>
          <w:iCs/>
          <w:lang w:val="en-GB" w:eastAsia="ja-JP"/>
        </w:rPr>
        <w:t>i</w:t>
      </w:r>
      <w:r w:rsidR="000D0236" w:rsidRPr="000D0236">
        <w:rPr>
          <w:rFonts w:ascii="Times New Roman" w:hAnsi="Times New Roman"/>
          <w:bCs/>
          <w:i/>
          <w:iCs/>
          <w:lang w:val="en-GB" w:eastAsia="ja-JP"/>
        </w:rPr>
        <w:t>nformed</w:t>
      </w:r>
      <w:r w:rsidR="00ED4FDA">
        <w:rPr>
          <w:rFonts w:ascii="Times New Roman" w:hAnsi="Times New Roman"/>
          <w:bCs/>
          <w:i/>
          <w:iCs/>
          <w:lang w:val="en-GB" w:eastAsia="ja-JP"/>
        </w:rPr>
        <w:t xml:space="preserve"> </w:t>
      </w:r>
      <w:r w:rsidR="002047EC">
        <w:rPr>
          <w:rFonts w:ascii="Times New Roman" w:hAnsi="Times New Roman"/>
          <w:bCs/>
          <w:i/>
          <w:iCs/>
          <w:lang w:val="en-GB" w:eastAsia="ja-JP"/>
        </w:rPr>
        <w:t>d</w:t>
      </w:r>
      <w:r w:rsidR="000D0236" w:rsidRPr="000D0236">
        <w:rPr>
          <w:rFonts w:ascii="Times New Roman" w:hAnsi="Times New Roman"/>
          <w:bCs/>
          <w:i/>
          <w:iCs/>
          <w:lang w:val="en-GB" w:eastAsia="ja-JP"/>
        </w:rPr>
        <w:t xml:space="preserve">esign </w:t>
      </w:r>
      <w:r w:rsidR="002047EC">
        <w:rPr>
          <w:rFonts w:ascii="Times New Roman" w:hAnsi="Times New Roman"/>
          <w:bCs/>
          <w:i/>
          <w:iCs/>
          <w:lang w:val="en-GB" w:eastAsia="ja-JP"/>
        </w:rPr>
        <w:t>t</w:t>
      </w:r>
      <w:r w:rsidR="000D0236" w:rsidRPr="000D0236">
        <w:rPr>
          <w:rFonts w:ascii="Times New Roman" w:hAnsi="Times New Roman"/>
          <w:bCs/>
          <w:i/>
          <w:iCs/>
          <w:lang w:val="en-GB" w:eastAsia="ja-JP"/>
        </w:rPr>
        <w:t xml:space="preserve">hinking, </w:t>
      </w:r>
      <w:r w:rsidR="002047EC">
        <w:rPr>
          <w:rFonts w:ascii="Times New Roman" w:hAnsi="Times New Roman"/>
          <w:bCs/>
          <w:i/>
          <w:iCs/>
          <w:lang w:val="en-GB" w:eastAsia="ja-JP"/>
        </w:rPr>
        <w:t>a</w:t>
      </w:r>
      <w:r w:rsidR="000D0236" w:rsidRPr="000D0236">
        <w:rPr>
          <w:rFonts w:ascii="Times New Roman" w:hAnsi="Times New Roman"/>
          <w:bCs/>
          <w:i/>
          <w:iCs/>
          <w:lang w:val="en-GB" w:eastAsia="ja-JP"/>
        </w:rPr>
        <w:t xml:space="preserve">rchitectural </w:t>
      </w:r>
      <w:r w:rsidR="002047EC">
        <w:rPr>
          <w:rFonts w:ascii="Times New Roman" w:hAnsi="Times New Roman"/>
          <w:bCs/>
          <w:i/>
          <w:iCs/>
          <w:lang w:val="en-GB" w:eastAsia="ja-JP"/>
        </w:rPr>
        <w:t>d</w:t>
      </w:r>
      <w:r w:rsidR="000D0236" w:rsidRPr="000D0236">
        <w:rPr>
          <w:rFonts w:ascii="Times New Roman" w:hAnsi="Times New Roman"/>
          <w:bCs/>
          <w:i/>
          <w:iCs/>
          <w:lang w:val="en-GB" w:eastAsia="ja-JP"/>
        </w:rPr>
        <w:t>esign</w:t>
      </w:r>
      <w:r w:rsidR="00ED4FDA">
        <w:rPr>
          <w:rFonts w:ascii="Times New Roman" w:hAnsi="Times New Roman"/>
          <w:bCs/>
          <w:i/>
          <w:iCs/>
          <w:lang w:val="en-GB" w:eastAsia="ja-JP"/>
        </w:rPr>
        <w:t>.</w:t>
      </w:r>
    </w:p>
    <w:p w14:paraId="3CE62B33" w14:textId="77777777" w:rsidR="00A94A51" w:rsidRPr="003E0719" w:rsidRDefault="00A94A51">
      <w:pPr>
        <w:pStyle w:val="PlainText"/>
        <w:jc w:val="both"/>
        <w:rPr>
          <w:rFonts w:ascii="Times New Roman" w:hAnsi="Times New Roman"/>
          <w:b/>
          <w:lang w:val="en-GB" w:eastAsia="ja-JP"/>
        </w:rPr>
      </w:pPr>
    </w:p>
    <w:p w14:paraId="1759DCCB" w14:textId="77777777" w:rsidR="00D13312" w:rsidRDefault="00A94A51" w:rsidP="00D13312">
      <w:pPr>
        <w:pStyle w:val="PlainText"/>
        <w:rPr>
          <w:rFonts w:ascii="Times New Roman" w:hAnsi="Times New Roman"/>
          <w:b/>
          <w:lang w:val="en-GB"/>
        </w:rPr>
      </w:pPr>
      <w:r w:rsidRPr="003E0719">
        <w:rPr>
          <w:rFonts w:ascii="Times New Roman" w:hAnsi="Times New Roman"/>
          <w:b/>
          <w:lang w:val="en-GB"/>
        </w:rPr>
        <w:t>Introduction</w:t>
      </w:r>
      <w:r w:rsidRPr="003E0719">
        <w:rPr>
          <w:rFonts w:ascii="Times New Roman" w:hAnsi="Times New Roman"/>
          <w:b/>
          <w:lang w:val="en-GB"/>
        </w:rPr>
        <w:cr/>
      </w:r>
    </w:p>
    <w:p w14:paraId="22D422B3" w14:textId="1D5D744E" w:rsidR="001A5B38" w:rsidRDefault="008A24C5" w:rsidP="004C686B">
      <w:pPr>
        <w:pStyle w:val="PlainText"/>
        <w:ind w:firstLine="284"/>
        <w:contextualSpacing/>
        <w:rPr>
          <w:rFonts w:ascii="Times New Roman" w:hAnsi="Times New Roman"/>
          <w:bCs/>
          <w:color w:val="374151"/>
          <w:szCs w:val="20"/>
        </w:rPr>
      </w:pPr>
      <w:r>
        <w:rPr>
          <w:rFonts w:ascii="Times New Roman" w:hAnsi="Times New Roman"/>
          <w:bCs/>
          <w:color w:val="374151"/>
          <w:szCs w:val="20"/>
        </w:rPr>
        <w:t>D</w:t>
      </w:r>
      <w:r w:rsidRPr="00FF7238">
        <w:rPr>
          <w:rFonts w:ascii="Times New Roman" w:hAnsi="Times New Roman"/>
          <w:bCs/>
          <w:color w:val="374151"/>
          <w:szCs w:val="20"/>
        </w:rPr>
        <w:t>ue to rapid advancements in technology and automation</w:t>
      </w:r>
      <w:r>
        <w:rPr>
          <w:rFonts w:ascii="Times New Roman" w:hAnsi="Times New Roman"/>
          <w:bCs/>
          <w:color w:val="374151"/>
          <w:szCs w:val="20"/>
        </w:rPr>
        <w:t>, p</w:t>
      </w:r>
      <w:r w:rsidR="00333F11" w:rsidRPr="00FF7238">
        <w:rPr>
          <w:rFonts w:ascii="Times New Roman" w:hAnsi="Times New Roman"/>
          <w:bCs/>
          <w:color w:val="374151"/>
          <w:szCs w:val="20"/>
        </w:rPr>
        <w:t>reparing students with the necessary skills to excel in the continuously evolving job market has become an increasing concern</w:t>
      </w:r>
      <w:r>
        <w:rPr>
          <w:rFonts w:ascii="Times New Roman" w:hAnsi="Times New Roman"/>
          <w:bCs/>
          <w:color w:val="374151"/>
          <w:szCs w:val="20"/>
        </w:rPr>
        <w:t>.</w:t>
      </w:r>
      <w:r w:rsidR="00333F11" w:rsidRPr="00FF7238">
        <w:rPr>
          <w:rFonts w:ascii="Times New Roman" w:hAnsi="Times New Roman"/>
          <w:bCs/>
          <w:color w:val="374151"/>
          <w:szCs w:val="20"/>
        </w:rPr>
        <w:t>The objective of this paper is to investigate how interdisciplinary learning can prepare students for success in the industry and how the integration of data analysis into the design thinking process can enhance the pedagogy of Design and Engineering</w:t>
      </w:r>
      <w:r>
        <w:rPr>
          <w:rFonts w:ascii="Times New Roman" w:hAnsi="Times New Roman"/>
          <w:bCs/>
          <w:color w:val="374151"/>
          <w:szCs w:val="20"/>
        </w:rPr>
        <w:t>,</w:t>
      </w:r>
      <w:r w:rsidRPr="0088009D">
        <w:rPr>
          <w:rFonts w:ascii="Times New Roman" w:hAnsi="Times New Roman"/>
          <w:bCs/>
          <w:color w:val="374151"/>
          <w:szCs w:val="20"/>
        </w:rPr>
        <w:t xml:space="preserve"> with a particular emphasis on the context of sustainable buildings</w:t>
      </w:r>
      <w:r w:rsidR="00333F11" w:rsidRPr="00FF7238">
        <w:rPr>
          <w:rFonts w:ascii="Times New Roman" w:hAnsi="Times New Roman"/>
          <w:bCs/>
          <w:color w:val="374151"/>
          <w:szCs w:val="20"/>
        </w:rPr>
        <w:t xml:space="preserve">. </w:t>
      </w:r>
    </w:p>
    <w:p w14:paraId="72765C19" w14:textId="1BA4299B" w:rsidR="001A5B38" w:rsidRDefault="00333F11" w:rsidP="004C686B">
      <w:pPr>
        <w:pStyle w:val="PlainText"/>
        <w:contextualSpacing/>
        <w:rPr>
          <w:rFonts w:ascii="Times New Roman" w:hAnsi="Times New Roman"/>
          <w:bCs/>
          <w:color w:val="374151"/>
          <w:szCs w:val="20"/>
        </w:rPr>
      </w:pPr>
      <w:r w:rsidRPr="00FF7238">
        <w:rPr>
          <w:rFonts w:ascii="Times New Roman" w:hAnsi="Times New Roman"/>
          <w:bCs/>
          <w:color w:val="374151"/>
          <w:szCs w:val="20"/>
        </w:rPr>
        <w:t xml:space="preserve">Research has shown that interdisciplinary learning enables students to integrate knowledge and perspectives from different fields, resulting in a more comprehensive understanding of complex problems </w:t>
      </w:r>
      <w:r w:rsidRPr="00D071EC">
        <w:rPr>
          <w:rFonts w:ascii="Times New Roman" w:hAnsi="Times New Roman"/>
          <w:bCs/>
          <w:color w:val="374151"/>
          <w:szCs w:val="20"/>
        </w:rPr>
        <w:t>(</w:t>
      </w:r>
      <w:r w:rsidR="00D071EC" w:rsidRPr="00366248">
        <w:rPr>
          <w:rFonts w:ascii="Times New Roman" w:hAnsi="Times New Roman"/>
          <w:szCs w:val="20"/>
        </w:rPr>
        <w:t>Ney,Steven. Meinel,Christoph</w:t>
      </w:r>
      <w:r w:rsidR="00A33EB1">
        <w:rPr>
          <w:rFonts w:ascii="Times New Roman" w:hAnsi="Times New Roman"/>
          <w:szCs w:val="20"/>
        </w:rPr>
        <w:t>.,</w:t>
      </w:r>
      <w:r w:rsidR="00D071EC" w:rsidRPr="00366248">
        <w:rPr>
          <w:rFonts w:ascii="Times New Roman" w:hAnsi="Times New Roman"/>
          <w:szCs w:val="20"/>
        </w:rPr>
        <w:t xml:space="preserve"> 2019</w:t>
      </w:r>
      <w:r w:rsidRPr="00D071EC">
        <w:rPr>
          <w:rFonts w:ascii="Times New Roman" w:hAnsi="Times New Roman"/>
          <w:bCs/>
          <w:color w:val="374151"/>
          <w:szCs w:val="20"/>
        </w:rPr>
        <w:t xml:space="preserve">). </w:t>
      </w:r>
      <w:r w:rsidRPr="00FF7238">
        <w:rPr>
          <w:rFonts w:ascii="Times New Roman" w:hAnsi="Times New Roman"/>
          <w:bCs/>
          <w:color w:val="374151"/>
          <w:szCs w:val="20"/>
        </w:rPr>
        <w:t>Interdisciplinary learning has been found to enhance students' problem-solving abilities, creativity, critical thinking, and communication skills</w:t>
      </w:r>
      <w:r w:rsidR="00FF173F">
        <w:rPr>
          <w:rFonts w:ascii="Times New Roman" w:hAnsi="Times New Roman"/>
          <w:bCs/>
          <w:color w:val="374151"/>
          <w:szCs w:val="20"/>
        </w:rPr>
        <w:t>.</w:t>
      </w:r>
      <w:r w:rsidR="00B65FE0">
        <w:rPr>
          <w:rFonts w:ascii="Times New Roman" w:hAnsi="Times New Roman"/>
          <w:bCs/>
          <w:color w:val="374151"/>
          <w:szCs w:val="20"/>
        </w:rPr>
        <w:t xml:space="preserve"> </w:t>
      </w:r>
      <w:r w:rsidRPr="00FF7238">
        <w:rPr>
          <w:rFonts w:ascii="Times New Roman" w:hAnsi="Times New Roman"/>
          <w:bCs/>
          <w:color w:val="374151"/>
          <w:szCs w:val="20"/>
        </w:rPr>
        <w:t xml:space="preserve">Moreover, it has been demonstrated that interdisciplinary learning prepares students for jobs that necessitate collaboration </w:t>
      </w:r>
      <w:r w:rsidRPr="00FF7238">
        <w:rPr>
          <w:rFonts w:ascii="Times New Roman" w:hAnsi="Times New Roman"/>
          <w:bCs/>
          <w:color w:val="374151"/>
          <w:szCs w:val="20"/>
        </w:rPr>
        <w:lastRenderedPageBreak/>
        <w:t xml:space="preserve">and adaptability </w:t>
      </w:r>
      <w:r w:rsidR="0025533F" w:rsidRPr="005B61D2">
        <w:rPr>
          <w:rFonts w:ascii="Times New Roman" w:hAnsi="Times New Roman"/>
          <w:bCs/>
          <w:color w:val="374151"/>
          <w:szCs w:val="20"/>
        </w:rPr>
        <w:t>(</w:t>
      </w:r>
      <w:r w:rsidR="0025533F" w:rsidRPr="005B61D2">
        <w:rPr>
          <w:rFonts w:ascii="Times New Roman" w:hAnsi="Times New Roman"/>
          <w:szCs w:val="20"/>
          <w:lang w:val="en-US"/>
        </w:rPr>
        <w:t xml:space="preserve">Self, J., &amp; </w:t>
      </w:r>
      <w:proofErr w:type="spellStart"/>
      <w:r w:rsidR="0025533F" w:rsidRPr="005B61D2">
        <w:rPr>
          <w:rFonts w:ascii="Times New Roman" w:hAnsi="Times New Roman"/>
          <w:szCs w:val="20"/>
          <w:lang w:val="en-US"/>
        </w:rPr>
        <w:t>Baek</w:t>
      </w:r>
      <w:proofErr w:type="spellEnd"/>
      <w:r w:rsidR="0025533F" w:rsidRPr="005B61D2">
        <w:rPr>
          <w:rFonts w:ascii="Times New Roman" w:hAnsi="Times New Roman"/>
          <w:szCs w:val="20"/>
          <w:lang w:val="en-US"/>
        </w:rPr>
        <w:t>, J. S.</w:t>
      </w:r>
      <w:r w:rsidR="0025533F">
        <w:rPr>
          <w:rFonts w:ascii="Times New Roman" w:hAnsi="Times New Roman"/>
          <w:szCs w:val="20"/>
          <w:lang w:val="en-US"/>
        </w:rPr>
        <w:t xml:space="preserve">, </w:t>
      </w:r>
      <w:r w:rsidR="0025533F" w:rsidRPr="005B61D2">
        <w:rPr>
          <w:rFonts w:ascii="Times New Roman" w:hAnsi="Times New Roman"/>
          <w:szCs w:val="20"/>
          <w:lang w:val="en-US"/>
        </w:rPr>
        <w:t>2017)</w:t>
      </w:r>
      <w:r w:rsidR="0025533F" w:rsidRPr="008E7191">
        <w:rPr>
          <w:rFonts w:ascii="Times New Roman" w:hAnsi="Times New Roman"/>
          <w:bCs/>
          <w:color w:val="374151"/>
          <w:szCs w:val="20"/>
        </w:rPr>
        <w:t>.</w:t>
      </w:r>
      <w:r w:rsidR="0025533F">
        <w:rPr>
          <w:rFonts w:ascii="Times New Roman" w:hAnsi="Times New Roman"/>
          <w:bCs/>
          <w:color w:val="374151"/>
          <w:szCs w:val="20"/>
        </w:rPr>
        <w:t xml:space="preserve"> </w:t>
      </w:r>
      <w:r w:rsidR="008C0D55" w:rsidRPr="0088009D">
        <w:rPr>
          <w:rFonts w:ascii="Times New Roman" w:hAnsi="Times New Roman"/>
          <w:bCs/>
          <w:color w:val="374151"/>
          <w:szCs w:val="20"/>
        </w:rPr>
        <w:t>In addition, interdisciplinary learning plays a pivotal role in addressing the topic of sustainability</w:t>
      </w:r>
      <w:r w:rsidR="009857BB">
        <w:rPr>
          <w:rFonts w:ascii="Times New Roman" w:hAnsi="Times New Roman"/>
          <w:bCs/>
          <w:color w:val="374151"/>
          <w:szCs w:val="20"/>
        </w:rPr>
        <w:t>, which is a</w:t>
      </w:r>
      <w:r w:rsidR="008C0D55" w:rsidRPr="0088009D">
        <w:rPr>
          <w:rFonts w:ascii="Times New Roman" w:hAnsi="Times New Roman"/>
          <w:bCs/>
          <w:color w:val="374151"/>
          <w:szCs w:val="20"/>
        </w:rPr>
        <w:t xml:space="preserve"> fundamental </w:t>
      </w:r>
      <w:r w:rsidR="009857BB">
        <w:rPr>
          <w:rFonts w:ascii="Times New Roman" w:hAnsi="Times New Roman"/>
          <w:bCs/>
          <w:color w:val="374151"/>
          <w:szCs w:val="20"/>
        </w:rPr>
        <w:t>aspect</w:t>
      </w:r>
      <w:r w:rsidR="008C0D55" w:rsidRPr="0088009D">
        <w:rPr>
          <w:rFonts w:ascii="Times New Roman" w:hAnsi="Times New Roman"/>
          <w:bCs/>
          <w:color w:val="374151"/>
          <w:szCs w:val="20"/>
        </w:rPr>
        <w:t xml:space="preserve"> for the case study presented in this paper. By integrating knowledge, perspectives, and methodologies from various academic disciplines, interdisciplinary learning provides a multifaceted approach that acknowledges the complex and interconnected nature of sustainability challenges. This approach recognizes that a comprehensive understanding and effective solutions require collaboration and synthesis across diverse fields. </w:t>
      </w:r>
      <w:r w:rsidR="008C0D55" w:rsidRPr="009023B8">
        <w:rPr>
          <w:rFonts w:ascii="Times New Roman" w:hAnsi="Times New Roman"/>
          <w:bCs/>
          <w:color w:val="374151"/>
          <w:szCs w:val="20"/>
        </w:rPr>
        <w:t>(</w:t>
      </w:r>
      <w:r w:rsidR="009023B8" w:rsidRPr="00366248">
        <w:rPr>
          <w:rFonts w:ascii="Times New Roman" w:hAnsi="Times New Roman"/>
          <w:szCs w:val="20"/>
        </w:rPr>
        <w:t>Zeltina, M.</w:t>
      </w:r>
      <w:r w:rsidR="007025B6">
        <w:rPr>
          <w:rFonts w:ascii="Times New Roman" w:hAnsi="Times New Roman"/>
          <w:szCs w:val="20"/>
        </w:rPr>
        <w:t xml:space="preserve">, </w:t>
      </w:r>
      <w:r w:rsidR="009023B8" w:rsidRPr="00366248">
        <w:rPr>
          <w:rFonts w:ascii="Times New Roman" w:hAnsi="Times New Roman"/>
          <w:szCs w:val="20"/>
        </w:rPr>
        <w:t>2021)</w:t>
      </w:r>
      <w:r w:rsidR="008C0D55" w:rsidRPr="009023B8">
        <w:rPr>
          <w:rFonts w:ascii="Times New Roman" w:hAnsi="Times New Roman"/>
          <w:bCs/>
          <w:color w:val="374151"/>
          <w:szCs w:val="20"/>
        </w:rPr>
        <w:t>.</w:t>
      </w:r>
    </w:p>
    <w:p w14:paraId="7F940695" w14:textId="79C79BC5" w:rsidR="007025B6" w:rsidRPr="007025B6" w:rsidRDefault="00717675" w:rsidP="007025B6">
      <w:pPr>
        <w:pStyle w:val="CommentText"/>
      </w:pPr>
      <w:r w:rsidRPr="00717675">
        <w:rPr>
          <w:bCs/>
          <w:color w:val="374151"/>
        </w:rPr>
        <w:t>The design thinking process is a systematic and iterative approach that involves problem-solving and decision-making to create innovative and functional designs. It typically consists of several stages, including research</w:t>
      </w:r>
      <w:r w:rsidR="00AA4B9C">
        <w:rPr>
          <w:bCs/>
          <w:color w:val="374151"/>
        </w:rPr>
        <w:t xml:space="preserve"> and</w:t>
      </w:r>
      <w:r w:rsidRPr="00717675">
        <w:rPr>
          <w:bCs/>
          <w:color w:val="374151"/>
        </w:rPr>
        <w:t xml:space="preserve"> analysis, </w:t>
      </w:r>
      <w:r w:rsidR="00F23A22">
        <w:rPr>
          <w:bCs/>
          <w:color w:val="374151"/>
        </w:rPr>
        <w:t xml:space="preserve">definition of the problem, </w:t>
      </w:r>
      <w:r w:rsidRPr="00717675">
        <w:rPr>
          <w:bCs/>
          <w:color w:val="374151"/>
        </w:rPr>
        <w:t>conceptualization</w:t>
      </w:r>
      <w:r w:rsidR="00AA4B9C">
        <w:rPr>
          <w:bCs/>
          <w:color w:val="374151"/>
        </w:rPr>
        <w:t xml:space="preserve"> and ideation</w:t>
      </w:r>
      <w:r w:rsidRPr="00717675">
        <w:rPr>
          <w:bCs/>
          <w:color w:val="374151"/>
        </w:rPr>
        <w:t xml:space="preserve">, prototyping, testing, and </w:t>
      </w:r>
      <w:r w:rsidR="007025B6" w:rsidRPr="00717675">
        <w:rPr>
          <w:bCs/>
          <w:color w:val="374151"/>
        </w:rPr>
        <w:t>refinement.</w:t>
      </w:r>
      <w:r w:rsidR="007025B6" w:rsidRPr="00FF7238">
        <w:rPr>
          <w:bCs/>
          <w:color w:val="374151"/>
        </w:rPr>
        <w:t xml:space="preserve"> The</w:t>
      </w:r>
      <w:r w:rsidR="00333F11" w:rsidRPr="00FF7238">
        <w:rPr>
          <w:bCs/>
          <w:color w:val="374151"/>
        </w:rPr>
        <w:t xml:space="preserve"> design thinking process, employed as a pedagogical approach for design students, provides a systematic framework to guide their learning </w:t>
      </w:r>
      <w:r w:rsidR="00333F11" w:rsidRPr="007025B6">
        <w:rPr>
          <w:bCs/>
          <w:color w:val="374151"/>
        </w:rPr>
        <w:t>(</w:t>
      </w:r>
      <w:r w:rsidR="007025B6" w:rsidRPr="007025B6">
        <w:rPr>
          <w:rFonts w:eastAsia="Times New Roman"/>
          <w:color w:val="232323"/>
          <w:lang w:val="en-SG" w:eastAsia="en-SG"/>
        </w:rPr>
        <w:t xml:space="preserve">Brown, </w:t>
      </w:r>
      <w:r w:rsidR="00A33EB1" w:rsidRPr="007025B6">
        <w:rPr>
          <w:rFonts w:eastAsia="Times New Roman"/>
          <w:color w:val="232323"/>
          <w:lang w:val="en-SG" w:eastAsia="en-SG"/>
        </w:rPr>
        <w:t>T.,</w:t>
      </w:r>
      <w:r w:rsidR="00A33EB1">
        <w:rPr>
          <w:rFonts w:eastAsia="Times New Roman"/>
          <w:color w:val="232323"/>
          <w:lang w:val="en-SG" w:eastAsia="en-SG"/>
        </w:rPr>
        <w:t xml:space="preserve"> </w:t>
      </w:r>
      <w:r w:rsidR="007025B6" w:rsidRPr="007025B6">
        <w:rPr>
          <w:rFonts w:eastAsia="Times New Roman"/>
          <w:color w:val="232323"/>
          <w:lang w:val="en-SG" w:eastAsia="en-SG"/>
        </w:rPr>
        <w:t>2008)</w:t>
      </w:r>
    </w:p>
    <w:p w14:paraId="23F0D509" w14:textId="3292561F" w:rsidR="00F05FD6" w:rsidRDefault="00333F11" w:rsidP="004C686B">
      <w:pPr>
        <w:pStyle w:val="PlainText"/>
        <w:contextualSpacing/>
        <w:rPr>
          <w:rFonts w:ascii="Times New Roman" w:hAnsi="Times New Roman"/>
          <w:bCs/>
          <w:color w:val="374151"/>
          <w:szCs w:val="20"/>
        </w:rPr>
      </w:pPr>
      <w:r w:rsidRPr="00FF7238">
        <w:rPr>
          <w:rFonts w:ascii="Times New Roman" w:hAnsi="Times New Roman"/>
          <w:bCs/>
          <w:color w:val="374151"/>
          <w:szCs w:val="20"/>
        </w:rPr>
        <w:t xml:space="preserve">This process is widely utilized across various fields to tackle complex problems and foster the creation of innovative solutions </w:t>
      </w:r>
      <w:r w:rsidRPr="00F05FD6">
        <w:rPr>
          <w:rFonts w:ascii="Times New Roman" w:hAnsi="Times New Roman"/>
          <w:bCs/>
          <w:color w:val="374151"/>
          <w:szCs w:val="20"/>
        </w:rPr>
        <w:t>(</w:t>
      </w:r>
      <w:r w:rsidR="001C3868" w:rsidRPr="00366248">
        <w:rPr>
          <w:rFonts w:ascii="Times New Roman" w:hAnsi="Times New Roman"/>
          <w:szCs w:val="20"/>
        </w:rPr>
        <w:t>Leifer, L., Plattner, H., &amp; Meinel, C.</w:t>
      </w:r>
      <w:r w:rsidR="00F05FD6" w:rsidRPr="00366248">
        <w:rPr>
          <w:rFonts w:ascii="Times New Roman" w:hAnsi="Times New Roman"/>
          <w:szCs w:val="20"/>
        </w:rPr>
        <w:t xml:space="preserve">, </w:t>
      </w:r>
      <w:r w:rsidR="001C3868" w:rsidRPr="00366248">
        <w:rPr>
          <w:rFonts w:ascii="Times New Roman" w:hAnsi="Times New Roman"/>
          <w:szCs w:val="20"/>
        </w:rPr>
        <w:t>2013</w:t>
      </w:r>
      <w:r w:rsidRPr="00F05FD6">
        <w:rPr>
          <w:rFonts w:ascii="Times New Roman" w:hAnsi="Times New Roman"/>
          <w:bCs/>
          <w:color w:val="374151"/>
          <w:szCs w:val="20"/>
        </w:rPr>
        <w:t xml:space="preserve">). </w:t>
      </w:r>
    </w:p>
    <w:p w14:paraId="6255B90A" w14:textId="1B92CE66" w:rsidR="001A5B38" w:rsidRDefault="00333F11" w:rsidP="004C686B">
      <w:pPr>
        <w:pStyle w:val="PlainText"/>
        <w:contextualSpacing/>
        <w:rPr>
          <w:rFonts w:ascii="Times New Roman" w:hAnsi="Times New Roman"/>
          <w:bCs/>
          <w:color w:val="374151"/>
          <w:szCs w:val="20"/>
        </w:rPr>
      </w:pPr>
      <w:r w:rsidRPr="00FF7238">
        <w:rPr>
          <w:rFonts w:ascii="Times New Roman" w:hAnsi="Times New Roman"/>
          <w:bCs/>
          <w:color w:val="374151"/>
          <w:szCs w:val="20"/>
        </w:rPr>
        <w:t>Utilizing the design thinking process offers several advantages in problem-solving and solution development</w:t>
      </w:r>
      <w:r w:rsidRPr="00FA2B8B">
        <w:rPr>
          <w:rFonts w:ascii="Times New Roman" w:hAnsi="Times New Roman"/>
          <w:bCs/>
          <w:color w:val="374151"/>
          <w:szCs w:val="20"/>
        </w:rPr>
        <w:t xml:space="preserve"> (</w:t>
      </w:r>
      <w:r w:rsidR="00FA2B8B" w:rsidRPr="00366248">
        <w:rPr>
          <w:rFonts w:ascii="Times New Roman" w:hAnsi="Times New Roman"/>
          <w:color w:val="232323"/>
          <w:szCs w:val="20"/>
          <w:shd w:val="clear" w:color="auto" w:fill="FFFFFF"/>
        </w:rPr>
        <w:t>Kelley, T. R., &amp; Knowles, J. G. , 2016</w:t>
      </w:r>
      <w:r w:rsidRPr="00FA2B8B">
        <w:rPr>
          <w:rFonts w:ascii="Times New Roman" w:hAnsi="Times New Roman"/>
          <w:bCs/>
          <w:color w:val="374151"/>
          <w:szCs w:val="20"/>
        </w:rPr>
        <w:t>).</w:t>
      </w:r>
    </w:p>
    <w:p w14:paraId="7C06EEA8" w14:textId="6A04ECE7" w:rsidR="002B4564" w:rsidRDefault="00333F11" w:rsidP="00B42EAC">
      <w:pPr>
        <w:pStyle w:val="PlainText"/>
        <w:numPr>
          <w:ilvl w:val="0"/>
          <w:numId w:val="4"/>
        </w:numPr>
        <w:spacing w:before="300" w:after="300"/>
        <w:ind w:left="425" w:hanging="142"/>
        <w:contextualSpacing/>
        <w:rPr>
          <w:rFonts w:ascii="Times New Roman" w:hAnsi="Times New Roman"/>
          <w:bCs/>
          <w:color w:val="374151"/>
          <w:szCs w:val="20"/>
        </w:rPr>
      </w:pPr>
      <w:r w:rsidRPr="002B4564">
        <w:rPr>
          <w:rFonts w:ascii="Times New Roman" w:hAnsi="Times New Roman"/>
          <w:bCs/>
          <w:color w:val="374151"/>
          <w:szCs w:val="20"/>
        </w:rPr>
        <w:t>Creativity and Innovation: Design thinking encourages divergent thinking and fosters creativity by emphasizing exploration, brainstorming, and idea generation, thereby allowing innovative solutions to emerge</w:t>
      </w:r>
      <w:r w:rsidRPr="00846351">
        <w:rPr>
          <w:rFonts w:ascii="Times New Roman" w:hAnsi="Times New Roman"/>
          <w:bCs/>
          <w:color w:val="374151"/>
          <w:szCs w:val="20"/>
        </w:rPr>
        <w:t xml:space="preserve"> (</w:t>
      </w:r>
      <w:r w:rsidR="00846351" w:rsidRPr="00366248">
        <w:rPr>
          <w:rFonts w:ascii="Times New Roman" w:eastAsia="Times New Roman" w:hAnsi="Times New Roman"/>
          <w:color w:val="232323"/>
          <w:szCs w:val="20"/>
          <w:lang w:val="en-SG" w:eastAsia="en-SG"/>
        </w:rPr>
        <w:t>Brown, T., Katz, B., 2011</w:t>
      </w:r>
      <w:r w:rsidRPr="00846351">
        <w:rPr>
          <w:rFonts w:ascii="Times New Roman" w:hAnsi="Times New Roman"/>
          <w:bCs/>
          <w:color w:val="374151"/>
          <w:szCs w:val="20"/>
        </w:rPr>
        <w:t>).</w:t>
      </w:r>
    </w:p>
    <w:p w14:paraId="088E6592" w14:textId="5A014F8E" w:rsidR="002B4564" w:rsidRDefault="00333F11" w:rsidP="00B42EAC">
      <w:pPr>
        <w:pStyle w:val="PlainText"/>
        <w:numPr>
          <w:ilvl w:val="0"/>
          <w:numId w:val="4"/>
        </w:numPr>
        <w:spacing w:before="300" w:after="300"/>
        <w:ind w:left="426" w:hanging="142"/>
        <w:contextualSpacing/>
        <w:rPr>
          <w:rFonts w:ascii="Times New Roman" w:hAnsi="Times New Roman"/>
          <w:bCs/>
          <w:color w:val="374151"/>
          <w:szCs w:val="20"/>
        </w:rPr>
      </w:pPr>
      <w:r w:rsidRPr="002B4564">
        <w:rPr>
          <w:rFonts w:ascii="Times New Roman" w:hAnsi="Times New Roman"/>
          <w:bCs/>
          <w:color w:val="374151"/>
          <w:szCs w:val="20"/>
        </w:rPr>
        <w:t>User-Centered Approach: The design process incorporates a user-centered perspective, ensuring that solutions meet the needs and preferences of end-users. This user-centric focus enhances the usability and acceptance of the final product or service</w:t>
      </w:r>
      <w:r w:rsidRPr="004E353E">
        <w:rPr>
          <w:rFonts w:ascii="Times New Roman" w:hAnsi="Times New Roman"/>
          <w:bCs/>
          <w:color w:val="374151"/>
          <w:szCs w:val="20"/>
        </w:rPr>
        <w:t xml:space="preserve"> (</w:t>
      </w:r>
      <w:r w:rsidR="004E353E" w:rsidRPr="00366248">
        <w:rPr>
          <w:rFonts w:ascii="Times New Roman" w:hAnsi="Times New Roman"/>
          <w:szCs w:val="20"/>
        </w:rPr>
        <w:t>Ackermann, R., 2023</w:t>
      </w:r>
      <w:r w:rsidRPr="004E353E">
        <w:rPr>
          <w:rFonts w:ascii="Times New Roman" w:hAnsi="Times New Roman"/>
          <w:bCs/>
          <w:color w:val="374151"/>
          <w:szCs w:val="20"/>
        </w:rPr>
        <w:t>).</w:t>
      </w:r>
    </w:p>
    <w:p w14:paraId="11F71314" w14:textId="1121099E" w:rsidR="002B4564" w:rsidRPr="00790738" w:rsidRDefault="00333F11" w:rsidP="00B42EAC">
      <w:pPr>
        <w:pStyle w:val="PlainText"/>
        <w:numPr>
          <w:ilvl w:val="0"/>
          <w:numId w:val="4"/>
        </w:numPr>
        <w:spacing w:before="300" w:after="300"/>
        <w:ind w:left="426" w:hanging="142"/>
        <w:contextualSpacing/>
        <w:rPr>
          <w:rFonts w:ascii="Times New Roman" w:hAnsi="Times New Roman"/>
          <w:bCs/>
          <w:color w:val="374151"/>
          <w:szCs w:val="20"/>
        </w:rPr>
      </w:pPr>
      <w:r w:rsidRPr="002B4564">
        <w:rPr>
          <w:rFonts w:ascii="Times New Roman" w:hAnsi="Times New Roman"/>
          <w:bCs/>
          <w:color w:val="374151"/>
          <w:szCs w:val="20"/>
        </w:rPr>
        <w:t>Iterative and Collaborative Nature: The design process follows an iterative and collaborative approach, allowing for continuous refinement and improvement. Feedback from stakeholders and end-users is gathered and integrated throughout the process, leading to better outcomes</w:t>
      </w:r>
      <w:r w:rsidRPr="00790738">
        <w:rPr>
          <w:rFonts w:ascii="Times New Roman" w:hAnsi="Times New Roman"/>
          <w:bCs/>
          <w:color w:val="374151"/>
          <w:szCs w:val="20"/>
        </w:rPr>
        <w:t xml:space="preserve"> (</w:t>
      </w:r>
      <w:r w:rsidR="00790738" w:rsidRPr="00366248">
        <w:rPr>
          <w:rFonts w:ascii="Times New Roman" w:hAnsi="Times New Roman"/>
          <w:color w:val="232323"/>
          <w:szCs w:val="20"/>
          <w:shd w:val="clear" w:color="auto" w:fill="FFFFFF"/>
        </w:rPr>
        <w:t>Liedtka, J., 2014</w:t>
      </w:r>
      <w:r w:rsidRPr="00790738">
        <w:rPr>
          <w:rFonts w:ascii="Times New Roman" w:hAnsi="Times New Roman"/>
          <w:bCs/>
          <w:color w:val="374151"/>
          <w:szCs w:val="20"/>
        </w:rPr>
        <w:t>).</w:t>
      </w:r>
    </w:p>
    <w:p w14:paraId="12E63170" w14:textId="1B87E652" w:rsidR="00135C8F" w:rsidRDefault="00333F11" w:rsidP="00741DCF">
      <w:pPr>
        <w:pStyle w:val="PlainText"/>
        <w:numPr>
          <w:ilvl w:val="0"/>
          <w:numId w:val="4"/>
        </w:numPr>
        <w:spacing w:before="300" w:after="300"/>
        <w:ind w:left="426" w:hanging="142"/>
        <w:contextualSpacing/>
        <w:rPr>
          <w:rFonts w:ascii="Times New Roman" w:hAnsi="Times New Roman"/>
          <w:bCs/>
          <w:color w:val="374151"/>
          <w:szCs w:val="20"/>
        </w:rPr>
      </w:pPr>
      <w:r w:rsidRPr="00804838">
        <w:rPr>
          <w:rFonts w:ascii="Times New Roman" w:hAnsi="Times New Roman"/>
          <w:bCs/>
          <w:color w:val="374151"/>
          <w:szCs w:val="20"/>
        </w:rPr>
        <w:t xml:space="preserve">Holistic Problem-Solving: The design process considers multiple dimensions and factors involved in problem-solving. It promotes a holistic understanding of the problem, leading to comprehensive and effective solutions </w:t>
      </w:r>
      <w:r w:rsidR="00804838" w:rsidRPr="00DA0859">
        <w:rPr>
          <w:rFonts w:ascii="Times New Roman" w:hAnsi="Times New Roman"/>
          <w:bCs/>
          <w:color w:val="374151"/>
          <w:szCs w:val="20"/>
        </w:rPr>
        <w:t>(</w:t>
      </w:r>
      <w:r w:rsidR="00804838" w:rsidRPr="00557B44">
        <w:rPr>
          <w:rFonts w:ascii="Times New Roman" w:hAnsi="Times New Roman"/>
          <w:szCs w:val="20"/>
          <w:lang w:val="en-US"/>
        </w:rPr>
        <w:t>Sanders</w:t>
      </w:r>
      <w:r w:rsidR="00804838">
        <w:rPr>
          <w:rFonts w:ascii="Times New Roman" w:hAnsi="Times New Roman"/>
          <w:szCs w:val="20"/>
          <w:lang w:val="en-US"/>
        </w:rPr>
        <w:t xml:space="preserve"> et al </w:t>
      </w:r>
      <w:r w:rsidR="00804838" w:rsidRPr="00557B44">
        <w:rPr>
          <w:rFonts w:ascii="Times New Roman" w:hAnsi="Times New Roman"/>
          <w:szCs w:val="20"/>
          <w:lang w:val="en-US"/>
        </w:rPr>
        <w:t>, 2008</w:t>
      </w:r>
      <w:r w:rsidR="00804838">
        <w:rPr>
          <w:rFonts w:ascii="Times New Roman" w:hAnsi="Times New Roman"/>
          <w:szCs w:val="20"/>
          <w:lang w:val="en-US"/>
        </w:rPr>
        <w:t>).</w:t>
      </w:r>
      <w:r w:rsidR="00804838" w:rsidRPr="00366248" w:rsidDel="00804838">
        <w:rPr>
          <w:rFonts w:ascii="Times New Roman" w:hAnsi="Times New Roman"/>
          <w:bCs/>
          <w:color w:val="374151"/>
          <w:szCs w:val="20"/>
          <w:highlight w:val="yellow"/>
        </w:rPr>
        <w:t xml:space="preserve"> </w:t>
      </w:r>
    </w:p>
    <w:p w14:paraId="49EF1790" w14:textId="77777777" w:rsidR="00B30BCE" w:rsidRPr="00804838" w:rsidRDefault="00333F11" w:rsidP="008E7191">
      <w:pPr>
        <w:pStyle w:val="PlainText"/>
        <w:spacing w:before="300" w:after="300"/>
        <w:ind w:left="426"/>
        <w:contextualSpacing/>
        <w:rPr>
          <w:rFonts w:ascii="Times New Roman" w:hAnsi="Times New Roman"/>
          <w:bCs/>
          <w:color w:val="374151"/>
          <w:szCs w:val="20"/>
        </w:rPr>
      </w:pPr>
      <w:r w:rsidRPr="00804838">
        <w:rPr>
          <w:rFonts w:ascii="Times New Roman" w:hAnsi="Times New Roman"/>
          <w:bCs/>
          <w:color w:val="374151"/>
          <w:szCs w:val="20"/>
        </w:rPr>
        <w:t>Despite its strengths, the design process is not without limitations:</w:t>
      </w:r>
    </w:p>
    <w:p w14:paraId="47730612" w14:textId="395ACB34" w:rsidR="009D3D6E" w:rsidRDefault="00333F11" w:rsidP="009D3D6E">
      <w:pPr>
        <w:pStyle w:val="PlainText"/>
        <w:numPr>
          <w:ilvl w:val="0"/>
          <w:numId w:val="7"/>
        </w:numPr>
        <w:spacing w:before="300" w:after="300"/>
        <w:ind w:left="426" w:hanging="142"/>
        <w:contextualSpacing/>
        <w:rPr>
          <w:rFonts w:ascii="Times New Roman" w:hAnsi="Times New Roman"/>
          <w:bCs/>
          <w:color w:val="374151"/>
          <w:szCs w:val="20"/>
        </w:rPr>
      </w:pPr>
      <w:r w:rsidRPr="00FF7238">
        <w:rPr>
          <w:rFonts w:ascii="Times New Roman" w:hAnsi="Times New Roman"/>
          <w:bCs/>
          <w:color w:val="374151"/>
          <w:szCs w:val="20"/>
        </w:rPr>
        <w:t xml:space="preserve">Subjectivity and Bias: Design thinking relies on subjective judgments and individual perspectives. The identification and interpretation of user needs and preferences may be influenced by inherent </w:t>
      </w:r>
      <w:r w:rsidRPr="00FF7238">
        <w:rPr>
          <w:rFonts w:ascii="Times New Roman" w:hAnsi="Times New Roman"/>
          <w:bCs/>
          <w:color w:val="374151"/>
          <w:szCs w:val="20"/>
        </w:rPr>
        <w:t xml:space="preserve">biases, potentially limiting the diversity of solutions </w:t>
      </w:r>
      <w:r w:rsidR="006E6B30" w:rsidRPr="007C1A8B">
        <w:rPr>
          <w:rFonts w:ascii="Times New Roman" w:hAnsi="Times New Roman"/>
          <w:bCs/>
          <w:color w:val="374151"/>
          <w:szCs w:val="20"/>
        </w:rPr>
        <w:t>(</w:t>
      </w:r>
      <w:r w:rsidR="006E6B30" w:rsidRPr="00C12094">
        <w:rPr>
          <w:rFonts w:ascii="Times New Roman" w:hAnsi="Times New Roman"/>
          <w:szCs w:val="20"/>
          <w:lang w:val="en-US"/>
        </w:rPr>
        <w:t>Norman, D. A.</w:t>
      </w:r>
      <w:r w:rsidR="006E6B30">
        <w:rPr>
          <w:rFonts w:ascii="Times New Roman" w:hAnsi="Times New Roman"/>
          <w:szCs w:val="20"/>
          <w:lang w:val="en-US"/>
        </w:rPr>
        <w:t xml:space="preserve">, </w:t>
      </w:r>
      <w:r w:rsidR="006E6B30" w:rsidRPr="00C12094">
        <w:rPr>
          <w:rFonts w:ascii="Times New Roman" w:hAnsi="Times New Roman"/>
          <w:szCs w:val="20"/>
          <w:lang w:val="en-US"/>
        </w:rPr>
        <w:t>2013</w:t>
      </w:r>
      <w:r w:rsidR="006E6B30" w:rsidRPr="007C1A8B">
        <w:rPr>
          <w:rFonts w:ascii="Times New Roman" w:hAnsi="Times New Roman"/>
          <w:bCs/>
          <w:color w:val="374151"/>
          <w:szCs w:val="20"/>
        </w:rPr>
        <w:t>).</w:t>
      </w:r>
      <w:r w:rsidR="006E6B30" w:rsidRPr="00366248" w:rsidDel="006E6B30">
        <w:rPr>
          <w:rFonts w:ascii="Times New Roman" w:hAnsi="Times New Roman"/>
          <w:bCs/>
          <w:color w:val="374151"/>
          <w:szCs w:val="20"/>
          <w:highlight w:val="yellow"/>
        </w:rPr>
        <w:t xml:space="preserve"> </w:t>
      </w:r>
    </w:p>
    <w:p w14:paraId="12FF011C" w14:textId="77777777" w:rsidR="004E757A" w:rsidRPr="009D3D6E" w:rsidRDefault="00333F11" w:rsidP="004E757A">
      <w:pPr>
        <w:pStyle w:val="PlainText"/>
        <w:numPr>
          <w:ilvl w:val="0"/>
          <w:numId w:val="7"/>
        </w:numPr>
        <w:spacing w:before="300" w:after="300"/>
        <w:ind w:left="426" w:hanging="142"/>
        <w:contextualSpacing/>
        <w:rPr>
          <w:rFonts w:ascii="Times New Roman" w:hAnsi="Times New Roman"/>
          <w:bCs/>
          <w:color w:val="374151"/>
          <w:szCs w:val="20"/>
        </w:rPr>
      </w:pPr>
      <w:r w:rsidRPr="004E757A">
        <w:rPr>
          <w:rFonts w:ascii="Times New Roman" w:hAnsi="Times New Roman"/>
          <w:bCs/>
          <w:color w:val="374151"/>
          <w:szCs w:val="20"/>
        </w:rPr>
        <w:t xml:space="preserve">Time and Resource Intensive: The design process is typically time-consuming and resource intensive. Extensive research, prototyping, and testing may be required, resulting in longer development cycles and increased costs </w:t>
      </w:r>
      <w:r w:rsidR="004E757A" w:rsidRPr="00274B72">
        <w:rPr>
          <w:rFonts w:ascii="Times New Roman" w:hAnsi="Times New Roman"/>
          <w:bCs/>
          <w:color w:val="374151"/>
          <w:szCs w:val="20"/>
        </w:rPr>
        <w:t>(</w:t>
      </w:r>
      <w:r w:rsidR="004E757A" w:rsidRPr="0061744D">
        <w:rPr>
          <w:rFonts w:ascii="Times New Roman" w:hAnsi="Times New Roman"/>
          <w:szCs w:val="20"/>
          <w:lang w:val="en-US"/>
        </w:rPr>
        <w:t>Kolko, J.</w:t>
      </w:r>
      <w:r w:rsidR="004E757A">
        <w:rPr>
          <w:rFonts w:ascii="Times New Roman" w:hAnsi="Times New Roman"/>
          <w:szCs w:val="20"/>
          <w:lang w:val="en-US"/>
        </w:rPr>
        <w:t xml:space="preserve">, </w:t>
      </w:r>
      <w:r w:rsidR="004E757A" w:rsidRPr="0061744D">
        <w:rPr>
          <w:rFonts w:ascii="Times New Roman" w:hAnsi="Times New Roman"/>
          <w:szCs w:val="20"/>
          <w:lang w:val="en-US"/>
        </w:rPr>
        <w:t>2018</w:t>
      </w:r>
      <w:r w:rsidR="004E757A" w:rsidRPr="00274B72">
        <w:rPr>
          <w:rFonts w:ascii="Times New Roman" w:hAnsi="Times New Roman"/>
          <w:bCs/>
          <w:color w:val="374151"/>
          <w:szCs w:val="20"/>
        </w:rPr>
        <w:t>).</w:t>
      </w:r>
    </w:p>
    <w:p w14:paraId="2F61C9D9" w14:textId="73A29903" w:rsidR="009D3D6E" w:rsidRPr="004E757A" w:rsidRDefault="00333F11" w:rsidP="00032E54">
      <w:pPr>
        <w:pStyle w:val="PlainText"/>
        <w:numPr>
          <w:ilvl w:val="0"/>
          <w:numId w:val="7"/>
        </w:numPr>
        <w:spacing w:before="300" w:after="300"/>
        <w:ind w:left="426" w:hanging="142"/>
        <w:contextualSpacing/>
        <w:rPr>
          <w:rFonts w:ascii="Times New Roman" w:hAnsi="Times New Roman"/>
          <w:bCs/>
          <w:color w:val="374151"/>
          <w:szCs w:val="20"/>
        </w:rPr>
      </w:pPr>
      <w:r w:rsidRPr="004E757A">
        <w:rPr>
          <w:rFonts w:ascii="Times New Roman" w:hAnsi="Times New Roman"/>
          <w:bCs/>
          <w:color w:val="374151"/>
          <w:szCs w:val="20"/>
        </w:rPr>
        <w:t>Lack of Predictability: The iterative nature of the design process can introduce uncertainties and make outcomes difficult to predict. This lack of predictability can be challenging for organizations seeking concrete deliverables within fixed timelines</w:t>
      </w:r>
      <w:r w:rsidR="003013DC">
        <w:rPr>
          <w:rFonts w:ascii="Times New Roman" w:hAnsi="Times New Roman"/>
          <w:bCs/>
          <w:color w:val="374151"/>
          <w:szCs w:val="20"/>
        </w:rPr>
        <w:t>.</w:t>
      </w:r>
    </w:p>
    <w:p w14:paraId="09636FC3" w14:textId="69EE3F87" w:rsidR="00B36EC3" w:rsidRPr="009D3D6E" w:rsidRDefault="00333F11" w:rsidP="009D3D6E">
      <w:pPr>
        <w:pStyle w:val="PlainText"/>
        <w:contextualSpacing/>
        <w:rPr>
          <w:rFonts w:ascii="Times New Roman" w:hAnsi="Times New Roman"/>
          <w:bCs/>
          <w:color w:val="374151"/>
          <w:szCs w:val="20"/>
        </w:rPr>
      </w:pPr>
      <w:r w:rsidRPr="009D3D6E">
        <w:rPr>
          <w:rFonts w:ascii="Times New Roman" w:hAnsi="Times New Roman"/>
          <w:bCs/>
          <w:color w:val="374151"/>
          <w:szCs w:val="20"/>
        </w:rPr>
        <w:t>Engineering students are typically trained in data collection and solution development techniques to address findings within their field. However, they often lack a comprehensive understanding of the contextual factors and problems at hand, as well as the ability to think creatively and innovatively.</w:t>
      </w:r>
    </w:p>
    <w:p w14:paraId="75816FEF" w14:textId="723BB992" w:rsidR="00333F11" w:rsidRPr="0094039E" w:rsidRDefault="00333F11" w:rsidP="00366248">
      <w:pPr>
        <w:pStyle w:val="PlainText"/>
        <w:contextualSpacing/>
      </w:pPr>
      <w:r w:rsidRPr="00366248">
        <w:rPr>
          <w:rFonts w:ascii="Times New Roman" w:hAnsi="Times New Roman"/>
        </w:rPr>
        <w:t xml:space="preserve">Data-informed design thinking (DIDT) is a collaborative approach to problem-solving that combines design thinking principles with data analysis </w:t>
      </w:r>
      <w:r w:rsidR="003D4990" w:rsidRPr="00846351">
        <w:rPr>
          <w:rFonts w:ascii="Times New Roman" w:hAnsi="Times New Roman"/>
          <w:bCs/>
          <w:color w:val="374151"/>
          <w:szCs w:val="20"/>
        </w:rPr>
        <w:t>(</w:t>
      </w:r>
      <w:r w:rsidR="003D4990" w:rsidRPr="00210800">
        <w:rPr>
          <w:rFonts w:ascii="Times New Roman" w:eastAsia="Times New Roman" w:hAnsi="Times New Roman"/>
          <w:color w:val="232323"/>
          <w:szCs w:val="20"/>
          <w:lang w:val="en-SG" w:eastAsia="en-SG"/>
        </w:rPr>
        <w:t>Brown, T., Katz, B., 2011</w:t>
      </w:r>
      <w:r w:rsidR="003D4990" w:rsidRPr="00846351">
        <w:rPr>
          <w:rFonts w:ascii="Times New Roman" w:hAnsi="Times New Roman"/>
          <w:bCs/>
          <w:color w:val="374151"/>
          <w:szCs w:val="20"/>
        </w:rPr>
        <w:t>)</w:t>
      </w:r>
      <w:r w:rsidR="003D4990" w:rsidRPr="008E7191">
        <w:rPr>
          <w:rFonts w:ascii="Times New Roman" w:hAnsi="Times New Roman"/>
          <w:szCs w:val="20"/>
        </w:rPr>
        <w:t>.</w:t>
      </w:r>
      <w:r w:rsidR="003D4990" w:rsidRPr="008E7191">
        <w:rPr>
          <w:rFonts w:ascii="Times New Roman" w:hAnsi="Times New Roman"/>
        </w:rPr>
        <w:t xml:space="preserve"> </w:t>
      </w:r>
      <w:r w:rsidRPr="008E7191">
        <w:rPr>
          <w:rFonts w:ascii="Times New Roman" w:hAnsi="Times New Roman"/>
        </w:rPr>
        <w:t>I</w:t>
      </w:r>
      <w:r w:rsidRPr="00366248">
        <w:rPr>
          <w:rFonts w:ascii="Times New Roman" w:hAnsi="Times New Roman"/>
        </w:rPr>
        <w:t>t aims to use data sources to make the design process less subjective, more efficient, and more predictable.</w:t>
      </w:r>
    </w:p>
    <w:p w14:paraId="51DBD520" w14:textId="36D4EC16" w:rsidR="00526B36" w:rsidRDefault="00333F11" w:rsidP="00526B36">
      <w:pPr>
        <w:pStyle w:val="CommentText"/>
      </w:pPr>
      <w:r w:rsidRPr="00FF7238">
        <w:rPr>
          <w:bCs/>
          <w:color w:val="374151"/>
        </w:rPr>
        <w:t xml:space="preserve">Research has shown that integrating key data sources into the design thinking process leads to better outcomes in terms of product design </w:t>
      </w:r>
      <w:r w:rsidR="009B7E49">
        <w:rPr>
          <w:bCs/>
          <w:color w:val="374151"/>
        </w:rPr>
        <w:t>(</w:t>
      </w:r>
      <w:r w:rsidR="009B7E49" w:rsidRPr="00210800">
        <w:t>Buchanan, R.</w:t>
      </w:r>
      <w:r w:rsidR="009B7E49">
        <w:t xml:space="preserve">, </w:t>
      </w:r>
      <w:r w:rsidR="009B7E49" w:rsidRPr="00210800">
        <w:t>2019)</w:t>
      </w:r>
      <w:r w:rsidR="009B7E49" w:rsidRPr="00AA4B9C">
        <w:rPr>
          <w:rFonts w:ascii="Segoe UI" w:hAnsi="Segoe UI" w:cs="Segoe UI"/>
          <w:color w:val="374151"/>
          <w:shd w:val="clear" w:color="auto" w:fill="F7F7F8"/>
        </w:rPr>
        <w:t xml:space="preserve"> </w:t>
      </w:r>
      <w:r w:rsidR="00AA4B9C" w:rsidRPr="0088009D">
        <w:rPr>
          <w:bCs/>
          <w:color w:val="374151"/>
        </w:rPr>
        <w:t>Furthermore, computer simulations that predict building behaviour can aid designers in identifying potential issues with their designs prior to implementation, thereby mitigating the risk of expensive errors.</w:t>
      </w:r>
      <w:r w:rsidRPr="00FF7238">
        <w:rPr>
          <w:bCs/>
          <w:color w:val="374151"/>
        </w:rPr>
        <w:t xml:space="preserve"> In the built environment industry, interdisciplinary and data-informed design processes have become standard practice. However, in the academic context, engineering and design are still taught in isolation. </w:t>
      </w:r>
      <w:r w:rsidR="00964E95" w:rsidRPr="0088009D">
        <w:rPr>
          <w:bCs/>
          <w:color w:val="374151"/>
        </w:rPr>
        <w:t>Moreover, it is crucial for future Design and Engineering professionals to possess versatility and adaptability in order to effectively engage in diverse fields of work that demand skills beyond their specialized area of expertise. The isolated approach to their respective fields may not adequately prepare them for the multifaceted challenges encountered in real-world scenarios</w:t>
      </w:r>
      <w:r w:rsidR="00790738">
        <w:rPr>
          <w:bCs/>
          <w:color w:val="374151"/>
        </w:rPr>
        <w:t xml:space="preserve"> (</w:t>
      </w:r>
      <w:r w:rsidR="00790738" w:rsidRPr="00210800">
        <w:t xml:space="preserve">Bear, A. &amp; </w:t>
      </w:r>
      <w:proofErr w:type="spellStart"/>
      <w:r w:rsidR="00790738" w:rsidRPr="00210800">
        <w:t>Skorton</w:t>
      </w:r>
      <w:proofErr w:type="spellEnd"/>
      <w:r w:rsidR="00790738" w:rsidRPr="00210800">
        <w:t>, D.</w:t>
      </w:r>
      <w:r w:rsidR="00B36EC3">
        <w:t xml:space="preserve">, </w:t>
      </w:r>
      <w:r w:rsidR="00790738" w:rsidRPr="00210800">
        <w:t>2019).</w:t>
      </w:r>
    </w:p>
    <w:p w14:paraId="3C19C410" w14:textId="29C3509D" w:rsidR="00A94A51" w:rsidRDefault="00333F11">
      <w:pPr>
        <w:pStyle w:val="CommentText"/>
        <w:rPr>
          <w:bCs/>
          <w:color w:val="374151"/>
        </w:rPr>
      </w:pPr>
      <w:r w:rsidRPr="00FF7238">
        <w:rPr>
          <w:bCs/>
          <w:color w:val="374151"/>
        </w:rPr>
        <w:t xml:space="preserve">The adoption of an interdisciplinary approach in education is vital in equipping students with the necessary skills and knowledge to meet the demands of future employment, which often necessitates a diverse skill set and the ability to integrate knowledge across various disciplines </w:t>
      </w:r>
      <w:r w:rsidR="002F266D" w:rsidRPr="00210800">
        <w:rPr>
          <w:bCs/>
          <w:color w:val="374151"/>
        </w:rPr>
        <w:t>(</w:t>
      </w:r>
      <w:r w:rsidR="002F266D" w:rsidRPr="00557B44">
        <w:t>Sanders</w:t>
      </w:r>
      <w:r w:rsidR="002F266D">
        <w:t xml:space="preserve"> et </w:t>
      </w:r>
      <w:proofErr w:type="gramStart"/>
      <w:r w:rsidR="002F266D">
        <w:t xml:space="preserve">al </w:t>
      </w:r>
      <w:r w:rsidR="002F266D" w:rsidRPr="00557B44">
        <w:t>,</w:t>
      </w:r>
      <w:proofErr w:type="gramEnd"/>
      <w:r w:rsidR="002F266D" w:rsidRPr="00557B44">
        <w:t xml:space="preserve"> 2008</w:t>
      </w:r>
      <w:r w:rsidR="002F266D">
        <w:t>)</w:t>
      </w:r>
      <w:r w:rsidR="002F266D" w:rsidRPr="0007619F">
        <w:rPr>
          <w:bCs/>
          <w:color w:val="374151"/>
        </w:rPr>
        <w:t>.</w:t>
      </w:r>
      <w:r w:rsidR="002F266D" w:rsidRPr="00366248" w:rsidDel="002F266D">
        <w:rPr>
          <w:bCs/>
          <w:color w:val="374151"/>
          <w:highlight w:val="yellow"/>
        </w:rPr>
        <w:t xml:space="preserve"> </w:t>
      </w:r>
    </w:p>
    <w:p w14:paraId="31D76845" w14:textId="77777777" w:rsidR="00603294" w:rsidRPr="003E0719" w:rsidRDefault="00603294" w:rsidP="00366248">
      <w:pPr>
        <w:pStyle w:val="CommentText"/>
        <w:rPr>
          <w:lang w:val="en-GB"/>
        </w:rPr>
      </w:pPr>
    </w:p>
    <w:p w14:paraId="22357F28" w14:textId="4CCE76E2" w:rsidR="00320DB3" w:rsidRPr="003E0719" w:rsidRDefault="00A94A51" w:rsidP="000472A3">
      <w:pPr>
        <w:pStyle w:val="PlainText"/>
        <w:jc w:val="both"/>
        <w:outlineLvl w:val="0"/>
        <w:rPr>
          <w:lang w:val="en-GB" w:eastAsia="ja-JP"/>
        </w:rPr>
      </w:pPr>
      <w:r w:rsidRPr="003E0719">
        <w:rPr>
          <w:rFonts w:ascii="Times New Roman" w:hAnsi="Times New Roman"/>
          <w:b/>
          <w:lang w:val="en-GB"/>
        </w:rPr>
        <w:t xml:space="preserve">Materials and Methods or pedagogy  </w:t>
      </w:r>
    </w:p>
    <w:p w14:paraId="7A86E9C3" w14:textId="2E91875E" w:rsidR="00AB777F" w:rsidRPr="0088009D" w:rsidRDefault="00964E95" w:rsidP="008E7191">
      <w:pPr>
        <w:pStyle w:val="NormalWeb"/>
        <w:spacing w:before="300" w:beforeAutospacing="0" w:after="300" w:afterAutospacing="0"/>
        <w:ind w:firstLine="284"/>
        <w:contextualSpacing/>
        <w:rPr>
          <w:bCs/>
          <w:color w:val="374151"/>
          <w:sz w:val="20"/>
          <w:szCs w:val="20"/>
        </w:rPr>
      </w:pPr>
      <w:r w:rsidRPr="0088009D">
        <w:rPr>
          <w:bCs/>
          <w:color w:val="374151"/>
          <w:sz w:val="20"/>
          <w:szCs w:val="20"/>
        </w:rPr>
        <w:t xml:space="preserve">The present case study delves into an interdisciplinary industry project that </w:t>
      </w:r>
      <w:r w:rsidR="00603294" w:rsidRPr="0088009D">
        <w:rPr>
          <w:bCs/>
          <w:color w:val="374151"/>
          <w:sz w:val="20"/>
          <w:szCs w:val="20"/>
        </w:rPr>
        <w:t>centres</w:t>
      </w:r>
      <w:r w:rsidRPr="0088009D">
        <w:rPr>
          <w:bCs/>
          <w:color w:val="374151"/>
          <w:sz w:val="20"/>
          <w:szCs w:val="20"/>
        </w:rPr>
        <w:t xml:space="preserve"> around designing a healthcare facility specifically tailored for patients with dementia. This project serves as the focal point for </w:t>
      </w:r>
      <w:r w:rsidR="00DF6D87" w:rsidRPr="0088009D">
        <w:rPr>
          <w:bCs/>
          <w:color w:val="374151"/>
          <w:sz w:val="20"/>
          <w:szCs w:val="20"/>
        </w:rPr>
        <w:t>investigating collaborative</w:t>
      </w:r>
      <w:r w:rsidRPr="0088009D">
        <w:rPr>
          <w:bCs/>
          <w:color w:val="374151"/>
          <w:sz w:val="20"/>
          <w:szCs w:val="20"/>
        </w:rPr>
        <w:t xml:space="preserve"> interdisciplinary learning (IDL) initiative, which brings together the Diploma in Interior Architecture &amp; Design (IAD) </w:t>
      </w:r>
      <w:r w:rsidRPr="0088009D">
        <w:rPr>
          <w:bCs/>
          <w:color w:val="374151"/>
          <w:sz w:val="20"/>
          <w:szCs w:val="20"/>
        </w:rPr>
        <w:lastRenderedPageBreak/>
        <w:t>program from the School of Design and the Architectural Technology &amp; Building Services (ABS) program from the School of Engineering at Temasek Polytechnic.</w:t>
      </w:r>
      <w:r w:rsidR="00603294">
        <w:rPr>
          <w:bCs/>
          <w:color w:val="374151"/>
          <w:sz w:val="20"/>
          <w:szCs w:val="20"/>
        </w:rPr>
        <w:t xml:space="preserve"> </w:t>
      </w:r>
      <w:r w:rsidR="00500A07" w:rsidRPr="009D3D6E">
        <w:rPr>
          <w:bCs/>
          <w:color w:val="374151"/>
          <w:sz w:val="20"/>
          <w:szCs w:val="20"/>
        </w:rPr>
        <w:t>The primary objectives of this collaboration were to provide students with practical exposure to industry settings, showcase the effectiveness of data-informed design thinking (DIDT) in enhancing student learning through evidence-based design solutions and identify the skills that students develop through IDL to prepare them for future employment opportunities. By examining this case</w:t>
      </w:r>
      <w:r w:rsidR="00500A07" w:rsidRPr="00F23A22">
        <w:rPr>
          <w:bCs/>
          <w:color w:val="374151"/>
          <w:sz w:val="20"/>
          <w:szCs w:val="20"/>
        </w:rPr>
        <w:t xml:space="preserve"> study, we gain insights into the outcomes and implications of integrating interdisciplinary approaches and data-informed design thinking in the educational context</w:t>
      </w:r>
      <w:r w:rsidRPr="00F76F41">
        <w:rPr>
          <w:bCs/>
          <w:color w:val="374151"/>
          <w:sz w:val="20"/>
          <w:szCs w:val="20"/>
        </w:rPr>
        <w:t>,</w:t>
      </w:r>
      <w:r w:rsidR="00AB777F" w:rsidRPr="00F76F41">
        <w:rPr>
          <w:bCs/>
          <w:color w:val="374151"/>
          <w:sz w:val="20"/>
          <w:szCs w:val="20"/>
        </w:rPr>
        <w:t xml:space="preserve"> e</w:t>
      </w:r>
      <w:r w:rsidR="00AB777F" w:rsidRPr="0088009D">
        <w:rPr>
          <w:bCs/>
          <w:color w:val="374151"/>
          <w:sz w:val="20"/>
          <w:szCs w:val="20"/>
        </w:rPr>
        <w:t>specially in the fields of architecture and architectural technology and building services</w:t>
      </w:r>
      <w:r w:rsidR="00AB777F" w:rsidRPr="00F23A22">
        <w:rPr>
          <w:bCs/>
          <w:color w:val="374151"/>
          <w:sz w:val="20"/>
          <w:szCs w:val="20"/>
        </w:rPr>
        <w:t>.</w:t>
      </w:r>
    </w:p>
    <w:p w14:paraId="2564C1AF" w14:textId="4666F34C" w:rsidR="00326971" w:rsidRDefault="00500A07" w:rsidP="00F23A22">
      <w:pPr>
        <w:pStyle w:val="NormalWeb"/>
        <w:spacing w:before="300" w:beforeAutospacing="0" w:after="300" w:afterAutospacing="0"/>
        <w:ind w:firstLine="284"/>
        <w:contextualSpacing/>
        <w:rPr>
          <w:bCs/>
          <w:color w:val="374151"/>
          <w:sz w:val="20"/>
          <w:szCs w:val="20"/>
        </w:rPr>
      </w:pPr>
      <w:r w:rsidRPr="0088009D">
        <w:rPr>
          <w:bCs/>
          <w:color w:val="374151"/>
          <w:sz w:val="20"/>
          <w:szCs w:val="20"/>
        </w:rPr>
        <w:t xml:space="preserve"> </w:t>
      </w:r>
      <w:r w:rsidR="00F23A22" w:rsidRPr="0088009D">
        <w:rPr>
          <w:bCs/>
          <w:color w:val="374151"/>
          <w:sz w:val="20"/>
          <w:szCs w:val="20"/>
        </w:rPr>
        <w:t xml:space="preserve">During the study, </w:t>
      </w:r>
      <w:r w:rsidR="00603294">
        <w:rPr>
          <w:bCs/>
          <w:color w:val="374151"/>
          <w:sz w:val="20"/>
          <w:szCs w:val="20"/>
        </w:rPr>
        <w:t xml:space="preserve">ABS and IAD </w:t>
      </w:r>
      <w:r w:rsidR="00F23A22" w:rsidRPr="0088009D">
        <w:rPr>
          <w:bCs/>
          <w:color w:val="374151"/>
          <w:sz w:val="20"/>
          <w:szCs w:val="20"/>
        </w:rPr>
        <w:t xml:space="preserve">students collaborated to improve the </w:t>
      </w:r>
      <w:r w:rsidR="000A79F3" w:rsidRPr="0088009D">
        <w:rPr>
          <w:bCs/>
          <w:color w:val="374151"/>
          <w:sz w:val="20"/>
          <w:szCs w:val="20"/>
        </w:rPr>
        <w:t>liveability</w:t>
      </w:r>
      <w:r w:rsidR="00F23A22" w:rsidRPr="0088009D">
        <w:rPr>
          <w:bCs/>
          <w:color w:val="374151"/>
          <w:sz w:val="20"/>
          <w:szCs w:val="20"/>
        </w:rPr>
        <w:t xml:space="preserve"> and sustainability of the healthcare facility, with a specific focus on addressing the challenges and needs of dementia patients.</w:t>
      </w:r>
      <w:r w:rsidR="00F23A22">
        <w:rPr>
          <w:bCs/>
          <w:color w:val="374151"/>
          <w:sz w:val="20"/>
          <w:szCs w:val="20"/>
        </w:rPr>
        <w:t xml:space="preserve"> </w:t>
      </w:r>
      <w:r w:rsidR="00F23A22" w:rsidRPr="0088009D">
        <w:rPr>
          <w:bCs/>
          <w:color w:val="374151"/>
          <w:sz w:val="20"/>
          <w:szCs w:val="20"/>
        </w:rPr>
        <w:t xml:space="preserve">The project encompassed all stages of the design process, commencing with site analysis and extensive research. This was followed by the formulation of the design brief, ideation of potential solutions during the Concept Design phase, prototyping of solutions during the </w:t>
      </w:r>
      <w:r w:rsidR="00F76F41">
        <w:rPr>
          <w:bCs/>
          <w:color w:val="374151"/>
          <w:sz w:val="20"/>
          <w:szCs w:val="20"/>
        </w:rPr>
        <w:t>S</w:t>
      </w:r>
      <w:r w:rsidR="00F23A22" w:rsidRPr="0088009D">
        <w:rPr>
          <w:bCs/>
          <w:color w:val="374151"/>
          <w:sz w:val="20"/>
          <w:szCs w:val="20"/>
        </w:rPr>
        <w:t xml:space="preserve">chematic </w:t>
      </w:r>
      <w:r w:rsidR="00F76F41">
        <w:rPr>
          <w:bCs/>
          <w:color w:val="374151"/>
          <w:sz w:val="20"/>
          <w:szCs w:val="20"/>
        </w:rPr>
        <w:t>D</w:t>
      </w:r>
      <w:r w:rsidR="00F23A22" w:rsidRPr="0088009D">
        <w:rPr>
          <w:bCs/>
          <w:color w:val="374151"/>
          <w:sz w:val="20"/>
          <w:szCs w:val="20"/>
        </w:rPr>
        <w:t xml:space="preserve">esign phase, testing of solutions during the </w:t>
      </w:r>
      <w:r w:rsidR="00F76F41">
        <w:rPr>
          <w:bCs/>
          <w:color w:val="374151"/>
          <w:sz w:val="20"/>
          <w:szCs w:val="20"/>
        </w:rPr>
        <w:t>D</w:t>
      </w:r>
      <w:r w:rsidR="00F23A22" w:rsidRPr="0088009D">
        <w:rPr>
          <w:bCs/>
          <w:color w:val="374151"/>
          <w:sz w:val="20"/>
          <w:szCs w:val="20"/>
        </w:rPr>
        <w:t xml:space="preserve">etailed </w:t>
      </w:r>
      <w:r w:rsidR="00F76F41">
        <w:rPr>
          <w:bCs/>
          <w:color w:val="374151"/>
          <w:sz w:val="20"/>
          <w:szCs w:val="20"/>
        </w:rPr>
        <w:t>D</w:t>
      </w:r>
      <w:r w:rsidR="00F23A22" w:rsidRPr="0088009D">
        <w:rPr>
          <w:bCs/>
          <w:color w:val="374151"/>
          <w:sz w:val="20"/>
          <w:szCs w:val="20"/>
        </w:rPr>
        <w:t>esign phase, and ultimately presenting the final design to the client for feedback. This feedback, in an industry setting, would serve as a foundation for refining the proposal.</w:t>
      </w:r>
    </w:p>
    <w:p w14:paraId="4C2D3CAA" w14:textId="3F1064D2" w:rsidR="00B405F7" w:rsidRDefault="00500A07" w:rsidP="000472A3">
      <w:pPr>
        <w:pStyle w:val="NormalWeb"/>
        <w:spacing w:before="300" w:beforeAutospacing="0" w:after="300" w:afterAutospacing="0"/>
        <w:ind w:firstLine="284"/>
        <w:contextualSpacing/>
        <w:rPr>
          <w:bCs/>
          <w:color w:val="374151"/>
          <w:sz w:val="20"/>
          <w:szCs w:val="20"/>
        </w:rPr>
      </w:pPr>
      <w:r w:rsidRPr="00CE7DC8">
        <w:rPr>
          <w:bCs/>
          <w:color w:val="374151"/>
          <w:sz w:val="20"/>
          <w:szCs w:val="20"/>
        </w:rPr>
        <w:t xml:space="preserve">During the </w:t>
      </w:r>
      <w:r w:rsidR="00F76F41">
        <w:rPr>
          <w:bCs/>
          <w:color w:val="374151"/>
          <w:sz w:val="20"/>
          <w:szCs w:val="20"/>
        </w:rPr>
        <w:t>S</w:t>
      </w:r>
      <w:r w:rsidRPr="00CE7DC8">
        <w:rPr>
          <w:bCs/>
          <w:color w:val="374151"/>
          <w:sz w:val="20"/>
          <w:szCs w:val="20"/>
        </w:rPr>
        <w:t xml:space="preserve">ite </w:t>
      </w:r>
      <w:r w:rsidR="00F76F41">
        <w:rPr>
          <w:bCs/>
          <w:color w:val="374151"/>
          <w:sz w:val="20"/>
          <w:szCs w:val="20"/>
        </w:rPr>
        <w:t>A</w:t>
      </w:r>
      <w:r w:rsidRPr="00CE7DC8">
        <w:rPr>
          <w:bCs/>
          <w:color w:val="374151"/>
          <w:sz w:val="20"/>
          <w:szCs w:val="20"/>
        </w:rPr>
        <w:t>nalysis and definition of the design brief stages, engineering students facilitated simulations of wind flow, solar and heat mapping of the site during different times of the day and year, while design students investigated the client and patients' needs, dementia, and its implications for Singapore's future. They also explored the urban context of the site and future developments for dementia institutions.</w:t>
      </w:r>
    </w:p>
    <w:p w14:paraId="31BB5E56" w14:textId="3ED6A964" w:rsidR="000472A3" w:rsidRDefault="00500A07" w:rsidP="000472A3">
      <w:pPr>
        <w:pStyle w:val="NormalWeb"/>
        <w:spacing w:before="300" w:beforeAutospacing="0" w:after="300" w:afterAutospacing="0"/>
        <w:ind w:firstLine="284"/>
        <w:contextualSpacing/>
        <w:rPr>
          <w:bCs/>
          <w:color w:val="374151"/>
          <w:sz w:val="20"/>
          <w:szCs w:val="20"/>
        </w:rPr>
      </w:pPr>
      <w:r w:rsidRPr="00CE7DC8">
        <w:rPr>
          <w:bCs/>
          <w:color w:val="374151"/>
          <w:sz w:val="20"/>
          <w:szCs w:val="20"/>
        </w:rPr>
        <w:t>The ideation phase of the project focused on developing potential solutions to the design problem. The design students were encouraged to explore a wide range of potential solutions and ground their ideas in evidence and data. They were also required to consider the social and cultural implications of their design solutions and ensure they were appropriate for patients with dementia.</w:t>
      </w:r>
    </w:p>
    <w:p w14:paraId="62E2A8AB" w14:textId="62FCE5CB" w:rsidR="000C794D" w:rsidRPr="0088009D" w:rsidRDefault="000C794D" w:rsidP="0088009D">
      <w:pPr>
        <w:pStyle w:val="NormalWeb"/>
        <w:spacing w:before="300" w:beforeAutospacing="0" w:after="0" w:afterAutospacing="0"/>
        <w:ind w:firstLine="284"/>
        <w:contextualSpacing/>
        <w:rPr>
          <w:bCs/>
          <w:color w:val="374151"/>
          <w:sz w:val="20"/>
          <w:szCs w:val="20"/>
        </w:rPr>
      </w:pPr>
      <w:r w:rsidRPr="0088009D">
        <w:rPr>
          <w:bCs/>
          <w:color w:val="374151"/>
          <w:sz w:val="20"/>
          <w:szCs w:val="20"/>
        </w:rPr>
        <w:t xml:space="preserve">In the </w:t>
      </w:r>
      <w:r w:rsidR="00277040">
        <w:rPr>
          <w:bCs/>
          <w:color w:val="374151"/>
          <w:sz w:val="20"/>
          <w:szCs w:val="20"/>
        </w:rPr>
        <w:t>S</w:t>
      </w:r>
      <w:r w:rsidRPr="0088009D">
        <w:rPr>
          <w:bCs/>
          <w:color w:val="374151"/>
          <w:sz w:val="20"/>
          <w:szCs w:val="20"/>
        </w:rPr>
        <w:t xml:space="preserve">chematic </w:t>
      </w:r>
      <w:r w:rsidR="00277040">
        <w:rPr>
          <w:bCs/>
          <w:color w:val="374151"/>
          <w:sz w:val="20"/>
          <w:szCs w:val="20"/>
        </w:rPr>
        <w:t>D</w:t>
      </w:r>
      <w:r w:rsidRPr="0088009D">
        <w:rPr>
          <w:bCs/>
          <w:color w:val="374151"/>
          <w:sz w:val="20"/>
          <w:szCs w:val="20"/>
        </w:rPr>
        <w:t xml:space="preserve">esign phase, </w:t>
      </w:r>
      <w:r w:rsidR="00277040">
        <w:rPr>
          <w:bCs/>
          <w:color w:val="374151"/>
          <w:sz w:val="20"/>
          <w:szCs w:val="20"/>
        </w:rPr>
        <w:t>d</w:t>
      </w:r>
      <w:r w:rsidRPr="0088009D">
        <w:rPr>
          <w:bCs/>
          <w:color w:val="374151"/>
          <w:sz w:val="20"/>
          <w:szCs w:val="20"/>
        </w:rPr>
        <w:t xml:space="preserve">esign students were encouraged to define their ideas and transform them into tangible, well-defined forms. This phase involved the development of visualizations and technical drawings of the design solutions. Once the forms were reasonably defined by </w:t>
      </w:r>
      <w:r w:rsidR="00277040">
        <w:rPr>
          <w:bCs/>
          <w:color w:val="374151"/>
          <w:sz w:val="20"/>
          <w:szCs w:val="20"/>
        </w:rPr>
        <w:t>d</w:t>
      </w:r>
      <w:r w:rsidRPr="0088009D">
        <w:rPr>
          <w:bCs/>
          <w:color w:val="374151"/>
          <w:sz w:val="20"/>
          <w:szCs w:val="20"/>
        </w:rPr>
        <w:t xml:space="preserve">esign students, </w:t>
      </w:r>
      <w:r w:rsidR="00277040">
        <w:rPr>
          <w:bCs/>
          <w:color w:val="374151"/>
          <w:sz w:val="20"/>
          <w:szCs w:val="20"/>
        </w:rPr>
        <w:t>e</w:t>
      </w:r>
      <w:r w:rsidRPr="0088009D">
        <w:rPr>
          <w:bCs/>
          <w:color w:val="374151"/>
          <w:sz w:val="20"/>
          <w:szCs w:val="20"/>
        </w:rPr>
        <w:t>ngineering students facilitated the creation of 3D models for the designs and conducted simulations to test how the new designs would perform in relation to wind flows, solar orientation, and heat gains. The aim was for Design students to integrate these findings into their design process and utilize them to inform their design solutions. To accomplish this, we expected students to actively seek feedback from their peers and iterate on their designs in response to the feedback received.</w:t>
      </w:r>
    </w:p>
    <w:p w14:paraId="7E6483A8" w14:textId="2CD5EFAF" w:rsidR="00934ED8" w:rsidRDefault="000C794D">
      <w:pPr>
        <w:pStyle w:val="PlainText"/>
        <w:jc w:val="both"/>
        <w:rPr>
          <w:rFonts w:ascii="Times New Roman" w:hAnsi="Times New Roman"/>
          <w:bCs/>
          <w:color w:val="374151"/>
          <w:szCs w:val="20"/>
        </w:rPr>
      </w:pPr>
      <w:r w:rsidRPr="0088009D">
        <w:rPr>
          <w:rFonts w:ascii="Times New Roman" w:hAnsi="Times New Roman"/>
          <w:bCs/>
          <w:color w:val="374151"/>
          <w:szCs w:val="20"/>
        </w:rPr>
        <w:t>During the detailed design phase, the design students further developed visualizations and created physical prototypes of the design solutions. They gained a more detailed understanding of their design solutions and began refining their ideas. Finally, the students presented their final designs to the client, who provided relevant feedback on the designs.</w:t>
      </w:r>
    </w:p>
    <w:p w14:paraId="68387F92" w14:textId="033195F3" w:rsidR="0088009D" w:rsidRDefault="001068DB">
      <w:pPr>
        <w:pStyle w:val="PlainText"/>
        <w:jc w:val="both"/>
        <w:rPr>
          <w:rFonts w:ascii="Times New Roman" w:hAnsi="Times New Roman"/>
          <w:bCs/>
          <w:color w:val="374151"/>
          <w:szCs w:val="20"/>
        </w:rPr>
      </w:pPr>
      <w:r w:rsidRPr="001068DB">
        <w:rPr>
          <w:noProof/>
        </w:rPr>
        <w:t xml:space="preserve"> </w:t>
      </w:r>
      <w:r w:rsidRPr="001068DB">
        <w:rPr>
          <w:rFonts w:ascii="Times New Roman" w:hAnsi="Times New Roman"/>
          <w:bCs/>
          <w:noProof/>
          <w:color w:val="374151"/>
          <w:szCs w:val="20"/>
        </w:rPr>
        <w:drawing>
          <wp:inline distT="0" distB="0" distL="0" distR="0" wp14:anchorId="6BA9E030" wp14:editId="2709745B">
            <wp:extent cx="2879725" cy="3295015"/>
            <wp:effectExtent l="0" t="0" r="0" b="635"/>
            <wp:docPr id="2" name="Picture 2" descr="A picture containing text, screenshot, parallel,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creenshot, parallel, number&#10;&#10;Description automatically generated"/>
                    <pic:cNvPicPr/>
                  </pic:nvPicPr>
                  <pic:blipFill>
                    <a:blip r:embed="rId16"/>
                    <a:stretch>
                      <a:fillRect/>
                    </a:stretch>
                  </pic:blipFill>
                  <pic:spPr>
                    <a:xfrm>
                      <a:off x="0" y="0"/>
                      <a:ext cx="2879725" cy="3295015"/>
                    </a:xfrm>
                    <a:prstGeom prst="rect">
                      <a:avLst/>
                    </a:prstGeom>
                  </pic:spPr>
                </pic:pic>
              </a:graphicData>
            </a:graphic>
          </wp:inline>
        </w:drawing>
      </w:r>
    </w:p>
    <w:p w14:paraId="6DC193D2" w14:textId="11AB1E3A" w:rsidR="00A94A51" w:rsidRPr="003E0719" w:rsidRDefault="00A94A51" w:rsidP="006C21A1">
      <w:pPr>
        <w:pStyle w:val="PlainText"/>
        <w:jc w:val="both"/>
        <w:outlineLvl w:val="0"/>
        <w:rPr>
          <w:rFonts w:ascii="Times New Roman" w:hAnsi="Times New Roman"/>
          <w:b/>
          <w:lang w:val="en-GB"/>
        </w:rPr>
      </w:pPr>
      <w:r w:rsidRPr="003E0719">
        <w:rPr>
          <w:rFonts w:ascii="Times New Roman" w:hAnsi="Times New Roman"/>
          <w:b/>
          <w:lang w:val="en-GB"/>
        </w:rPr>
        <w:t>Results and Discussion</w:t>
      </w:r>
    </w:p>
    <w:p w14:paraId="245AC796" w14:textId="22CC5FEB" w:rsidR="00CB3271" w:rsidRDefault="001554FF" w:rsidP="009D3D6E">
      <w:pPr>
        <w:pStyle w:val="NormalWeb"/>
        <w:spacing w:before="300" w:beforeAutospacing="0" w:after="0" w:afterAutospacing="0"/>
        <w:ind w:firstLine="284"/>
        <w:contextualSpacing/>
        <w:rPr>
          <w:bCs/>
          <w:color w:val="374151"/>
          <w:sz w:val="20"/>
          <w:szCs w:val="20"/>
        </w:rPr>
      </w:pPr>
      <w:r w:rsidRPr="000A2DF1">
        <w:rPr>
          <w:bCs/>
          <w:color w:val="374151"/>
          <w:sz w:val="20"/>
          <w:szCs w:val="20"/>
        </w:rPr>
        <w:t xml:space="preserve">To gather data for this study, a multi-faceted approach was employed. Firstly, student submissions and final presentations were collected and </w:t>
      </w:r>
      <w:proofErr w:type="spellStart"/>
      <w:r w:rsidRPr="000A2DF1">
        <w:rPr>
          <w:bCs/>
          <w:color w:val="374151"/>
          <w:sz w:val="20"/>
          <w:szCs w:val="20"/>
        </w:rPr>
        <w:t>analyzed</w:t>
      </w:r>
      <w:proofErr w:type="spellEnd"/>
      <w:r w:rsidRPr="000A2DF1">
        <w:rPr>
          <w:bCs/>
          <w:color w:val="374151"/>
          <w:sz w:val="20"/>
          <w:szCs w:val="20"/>
        </w:rPr>
        <w:t xml:space="preserve"> </w:t>
      </w:r>
      <w:r w:rsidR="00B658B5">
        <w:rPr>
          <w:sz w:val="20"/>
          <w:szCs w:val="20"/>
          <w:lang w:val="en-US"/>
        </w:rPr>
        <w:t>(</w:t>
      </w:r>
      <w:r w:rsidR="00B658B5" w:rsidRPr="00210800">
        <w:rPr>
          <w:sz w:val="20"/>
          <w:szCs w:val="20"/>
          <w:lang w:val="en-US"/>
        </w:rPr>
        <w:t xml:space="preserve">Self, J., </w:t>
      </w:r>
      <w:r w:rsidR="00B658B5">
        <w:rPr>
          <w:sz w:val="20"/>
          <w:szCs w:val="20"/>
          <w:lang w:val="en-US"/>
        </w:rPr>
        <w:t xml:space="preserve">et al, </w:t>
      </w:r>
      <w:r w:rsidR="00B658B5" w:rsidRPr="00210800">
        <w:rPr>
          <w:sz w:val="20"/>
          <w:szCs w:val="20"/>
          <w:lang w:val="en-US"/>
        </w:rPr>
        <w:t>2017)</w:t>
      </w:r>
      <w:r w:rsidR="00CB3271">
        <w:rPr>
          <w:bCs/>
          <w:color w:val="374151"/>
          <w:sz w:val="20"/>
          <w:szCs w:val="20"/>
        </w:rPr>
        <w:t>.</w:t>
      </w:r>
    </w:p>
    <w:p w14:paraId="0CAE073B" w14:textId="15888993" w:rsidR="001554FF" w:rsidRPr="000A2DF1" w:rsidRDefault="001554FF" w:rsidP="009D3D6E">
      <w:pPr>
        <w:pStyle w:val="NormalWeb"/>
        <w:spacing w:before="300" w:beforeAutospacing="0" w:after="0" w:afterAutospacing="0"/>
        <w:ind w:firstLine="284"/>
        <w:contextualSpacing/>
        <w:rPr>
          <w:bCs/>
          <w:color w:val="374151"/>
          <w:sz w:val="20"/>
          <w:szCs w:val="20"/>
        </w:rPr>
      </w:pPr>
      <w:r w:rsidRPr="000A2DF1">
        <w:rPr>
          <w:bCs/>
          <w:color w:val="374151"/>
          <w:sz w:val="20"/>
          <w:szCs w:val="20"/>
        </w:rPr>
        <w:t xml:space="preserve">These materials provided valuable insights into the students' </w:t>
      </w:r>
      <w:r w:rsidR="00B634DC">
        <w:rPr>
          <w:bCs/>
          <w:color w:val="374151"/>
          <w:sz w:val="20"/>
          <w:szCs w:val="20"/>
        </w:rPr>
        <w:t xml:space="preserve">learning </w:t>
      </w:r>
      <w:r w:rsidRPr="000A2DF1">
        <w:rPr>
          <w:bCs/>
          <w:color w:val="374151"/>
          <w:sz w:val="20"/>
          <w:szCs w:val="20"/>
        </w:rPr>
        <w:t>and project outcomes.</w:t>
      </w:r>
    </w:p>
    <w:p w14:paraId="05FF03AA" w14:textId="51CFD3DC" w:rsidR="00741C63" w:rsidRDefault="001554FF" w:rsidP="006A2EED">
      <w:pPr>
        <w:pStyle w:val="NormalWeb"/>
        <w:spacing w:before="300" w:beforeAutospacing="0" w:after="0" w:afterAutospacing="0"/>
        <w:ind w:firstLine="284"/>
        <w:contextualSpacing/>
        <w:rPr>
          <w:bCs/>
          <w:color w:val="374151"/>
          <w:sz w:val="20"/>
          <w:szCs w:val="20"/>
        </w:rPr>
      </w:pPr>
      <w:r w:rsidRPr="000A2DF1">
        <w:rPr>
          <w:bCs/>
          <w:color w:val="374151"/>
          <w:sz w:val="20"/>
          <w:szCs w:val="20"/>
        </w:rPr>
        <w:t xml:space="preserve">In addition to the analysis of student work, surveys were administered to gather the perspectives of students on the effectiveness of the </w:t>
      </w:r>
      <w:r w:rsidR="00B634DC">
        <w:rPr>
          <w:bCs/>
          <w:color w:val="374151"/>
          <w:sz w:val="20"/>
          <w:szCs w:val="20"/>
        </w:rPr>
        <w:t>interdisciplinary collaboration</w:t>
      </w:r>
      <w:r w:rsidR="00B634DC" w:rsidRPr="000A2DF1">
        <w:rPr>
          <w:bCs/>
          <w:color w:val="374151"/>
          <w:sz w:val="20"/>
          <w:szCs w:val="20"/>
        </w:rPr>
        <w:t xml:space="preserve"> </w:t>
      </w:r>
      <w:r w:rsidRPr="000A2DF1">
        <w:rPr>
          <w:bCs/>
          <w:color w:val="374151"/>
          <w:sz w:val="20"/>
          <w:szCs w:val="20"/>
        </w:rPr>
        <w:t xml:space="preserve">and </w:t>
      </w:r>
      <w:r w:rsidR="00B634DC">
        <w:rPr>
          <w:bCs/>
          <w:color w:val="374151"/>
          <w:sz w:val="20"/>
          <w:szCs w:val="20"/>
        </w:rPr>
        <w:t xml:space="preserve">their </w:t>
      </w:r>
      <w:r w:rsidRPr="000A2DF1">
        <w:rPr>
          <w:bCs/>
          <w:color w:val="374151"/>
          <w:sz w:val="20"/>
          <w:szCs w:val="20"/>
        </w:rPr>
        <w:t xml:space="preserve">learning </w:t>
      </w:r>
      <w:r w:rsidR="00741C63" w:rsidRPr="000A2DF1">
        <w:rPr>
          <w:bCs/>
          <w:color w:val="374151"/>
          <w:sz w:val="20"/>
          <w:szCs w:val="20"/>
        </w:rPr>
        <w:t>outcomes</w:t>
      </w:r>
      <w:r w:rsidR="00741C63">
        <w:rPr>
          <w:sz w:val="20"/>
          <w:szCs w:val="20"/>
          <w:lang w:val="en-US"/>
        </w:rPr>
        <w:t xml:space="preserve"> (</w:t>
      </w:r>
      <w:r w:rsidR="00741C63" w:rsidRPr="000C1188">
        <w:rPr>
          <w:sz w:val="20"/>
          <w:szCs w:val="20"/>
          <w:lang w:val="en-US"/>
        </w:rPr>
        <w:t>Donnelly, S.,</w:t>
      </w:r>
      <w:r w:rsidR="00741C63">
        <w:rPr>
          <w:sz w:val="20"/>
          <w:szCs w:val="20"/>
          <w:lang w:val="en-US"/>
        </w:rPr>
        <w:t xml:space="preserve"> et al, </w:t>
      </w:r>
      <w:r w:rsidR="00741C63" w:rsidRPr="000C1188">
        <w:rPr>
          <w:sz w:val="20"/>
          <w:szCs w:val="20"/>
          <w:lang w:val="en-US"/>
        </w:rPr>
        <w:t>2019)</w:t>
      </w:r>
      <w:r w:rsidRPr="000A2DF1">
        <w:rPr>
          <w:bCs/>
          <w:color w:val="374151"/>
          <w:sz w:val="20"/>
          <w:szCs w:val="20"/>
        </w:rPr>
        <w:t xml:space="preserve">. </w:t>
      </w:r>
    </w:p>
    <w:p w14:paraId="0B580DAC" w14:textId="1D70A88E" w:rsidR="001554FF" w:rsidRPr="000A2DF1" w:rsidRDefault="001554FF" w:rsidP="006A2EED">
      <w:pPr>
        <w:pStyle w:val="NormalWeb"/>
        <w:spacing w:before="300" w:beforeAutospacing="0" w:after="0" w:afterAutospacing="0"/>
        <w:ind w:firstLine="284"/>
        <w:contextualSpacing/>
        <w:rPr>
          <w:bCs/>
          <w:color w:val="374151"/>
          <w:sz w:val="20"/>
          <w:szCs w:val="20"/>
        </w:rPr>
      </w:pPr>
      <w:r w:rsidRPr="000A2DF1">
        <w:rPr>
          <w:bCs/>
          <w:color w:val="374151"/>
          <w:sz w:val="20"/>
          <w:szCs w:val="20"/>
        </w:rPr>
        <w:t>The surveys allowed for a deeper understanding of the students' experiences and perceptions related to the project.</w:t>
      </w:r>
    </w:p>
    <w:p w14:paraId="4C112B8B" w14:textId="2CAF8F60" w:rsidR="001554FF" w:rsidRPr="000A2DF1" w:rsidRDefault="001554FF" w:rsidP="009309BE">
      <w:pPr>
        <w:pStyle w:val="NormalWeb"/>
        <w:spacing w:before="300" w:beforeAutospacing="0" w:after="0" w:afterAutospacing="0"/>
        <w:ind w:firstLine="284"/>
        <w:contextualSpacing/>
        <w:rPr>
          <w:bCs/>
          <w:color w:val="374151"/>
          <w:sz w:val="20"/>
          <w:szCs w:val="20"/>
        </w:rPr>
      </w:pPr>
      <w:r w:rsidRPr="000A2DF1">
        <w:rPr>
          <w:bCs/>
          <w:color w:val="374151"/>
          <w:sz w:val="20"/>
          <w:szCs w:val="20"/>
        </w:rPr>
        <w:t>Interviews</w:t>
      </w:r>
      <w:r w:rsidR="00F113D3">
        <w:rPr>
          <w:bCs/>
          <w:color w:val="374151"/>
          <w:sz w:val="20"/>
          <w:szCs w:val="20"/>
        </w:rPr>
        <w:t xml:space="preserve">, both </w:t>
      </w:r>
      <w:r w:rsidR="00782202">
        <w:rPr>
          <w:bCs/>
          <w:color w:val="374151"/>
          <w:sz w:val="20"/>
          <w:szCs w:val="20"/>
        </w:rPr>
        <w:t>with teachers</w:t>
      </w:r>
      <w:r w:rsidR="00F113D3">
        <w:rPr>
          <w:bCs/>
          <w:color w:val="374151"/>
          <w:sz w:val="20"/>
          <w:szCs w:val="20"/>
        </w:rPr>
        <w:t xml:space="preserve"> and </w:t>
      </w:r>
      <w:r w:rsidR="00782202">
        <w:rPr>
          <w:bCs/>
          <w:color w:val="374151"/>
          <w:sz w:val="20"/>
          <w:szCs w:val="20"/>
        </w:rPr>
        <w:t>with IAD</w:t>
      </w:r>
      <w:r w:rsidR="00B634DC">
        <w:rPr>
          <w:bCs/>
          <w:color w:val="374151"/>
          <w:sz w:val="20"/>
          <w:szCs w:val="20"/>
        </w:rPr>
        <w:t xml:space="preserve"> </w:t>
      </w:r>
      <w:r w:rsidR="00F113D3">
        <w:rPr>
          <w:bCs/>
          <w:color w:val="374151"/>
          <w:sz w:val="20"/>
          <w:szCs w:val="20"/>
        </w:rPr>
        <w:t>students,</w:t>
      </w:r>
      <w:r w:rsidR="00F113D3" w:rsidRPr="000A2DF1">
        <w:rPr>
          <w:bCs/>
          <w:color w:val="374151"/>
          <w:sz w:val="20"/>
          <w:szCs w:val="20"/>
        </w:rPr>
        <w:t xml:space="preserve"> </w:t>
      </w:r>
      <w:r w:rsidRPr="000A2DF1">
        <w:rPr>
          <w:bCs/>
          <w:color w:val="374151"/>
          <w:sz w:val="20"/>
          <w:szCs w:val="20"/>
        </w:rPr>
        <w:t>also played a crucial role in this qualitative analysis, providing rich, in-depth insights and perspectives from participants.</w:t>
      </w:r>
      <w:r w:rsidR="00782202">
        <w:rPr>
          <w:bCs/>
          <w:color w:val="374151"/>
          <w:sz w:val="20"/>
          <w:szCs w:val="20"/>
        </w:rPr>
        <w:t xml:space="preserve"> </w:t>
      </w:r>
      <w:r w:rsidRPr="000A2DF1">
        <w:rPr>
          <w:bCs/>
          <w:color w:val="374151"/>
          <w:sz w:val="20"/>
          <w:szCs w:val="20"/>
        </w:rPr>
        <w:t>The interviews enabled researchers to explore complex phenomena and gain a nuanced understanding of the subjective experiences and meanings attributed to them.</w:t>
      </w:r>
    </w:p>
    <w:p w14:paraId="5E02882C" w14:textId="67C565AA" w:rsidR="00D30443" w:rsidRDefault="00B634DC" w:rsidP="009D3D6E">
      <w:pPr>
        <w:pStyle w:val="NormalWeb"/>
        <w:spacing w:before="300" w:beforeAutospacing="0" w:after="0" w:afterAutospacing="0"/>
        <w:ind w:firstLine="284"/>
        <w:contextualSpacing/>
        <w:rPr>
          <w:bCs/>
          <w:color w:val="374151"/>
          <w:sz w:val="20"/>
          <w:szCs w:val="20"/>
        </w:rPr>
      </w:pPr>
      <w:r w:rsidRPr="00B634DC">
        <w:t xml:space="preserve"> </w:t>
      </w:r>
      <w:r w:rsidRPr="0088009D">
        <w:rPr>
          <w:bCs/>
          <w:color w:val="374151"/>
          <w:sz w:val="20"/>
          <w:szCs w:val="20"/>
        </w:rPr>
        <w:t>Furthermore, subject teachers conducted observations to gain valuable insights into the overall effectiveness of the interdisciplinary collaboration project and identify potential areas for improvement. These observations provided first</w:t>
      </w:r>
      <w:r w:rsidR="00885069">
        <w:rPr>
          <w:bCs/>
          <w:color w:val="374151"/>
          <w:sz w:val="20"/>
          <w:szCs w:val="20"/>
        </w:rPr>
        <w:t xml:space="preserve"> </w:t>
      </w:r>
      <w:r w:rsidRPr="0088009D">
        <w:rPr>
          <w:bCs/>
          <w:color w:val="374151"/>
          <w:sz w:val="20"/>
          <w:szCs w:val="20"/>
        </w:rPr>
        <w:t>hand findings on student engagement, effectiveness, timing of data exchange, and the learning process.</w:t>
      </w:r>
      <w:r w:rsidR="00885069">
        <w:rPr>
          <w:bCs/>
          <w:color w:val="374151"/>
          <w:sz w:val="20"/>
          <w:szCs w:val="20"/>
        </w:rPr>
        <w:t xml:space="preserve"> </w:t>
      </w:r>
      <w:r w:rsidR="001554FF" w:rsidRPr="000A2DF1">
        <w:rPr>
          <w:bCs/>
          <w:color w:val="374151"/>
          <w:sz w:val="20"/>
          <w:szCs w:val="20"/>
        </w:rPr>
        <w:t xml:space="preserve">The utilization of this multi-dimensional approach to data collection </w:t>
      </w:r>
      <w:r w:rsidR="001554FF" w:rsidRPr="000A2DF1">
        <w:rPr>
          <w:bCs/>
          <w:color w:val="374151"/>
          <w:sz w:val="20"/>
          <w:szCs w:val="20"/>
        </w:rPr>
        <w:lastRenderedPageBreak/>
        <w:t xml:space="preserve">ensured a comprehensive and nuanced understanding of the impact of the project on student learning and the overall effectiveness </w:t>
      </w:r>
      <w:r w:rsidR="00F05D7D" w:rsidRPr="000A2DF1">
        <w:rPr>
          <w:bCs/>
          <w:color w:val="374151"/>
          <w:sz w:val="20"/>
          <w:szCs w:val="20"/>
        </w:rPr>
        <w:t>of interdisciplinary</w:t>
      </w:r>
      <w:r w:rsidR="001554FF" w:rsidRPr="000A2DF1">
        <w:rPr>
          <w:bCs/>
          <w:color w:val="374151"/>
          <w:sz w:val="20"/>
          <w:szCs w:val="20"/>
        </w:rPr>
        <w:t xml:space="preserve"> collaboration.</w:t>
      </w:r>
    </w:p>
    <w:p w14:paraId="25F82775" w14:textId="1ADA068C" w:rsidR="00D30443" w:rsidRPr="00146CBE" w:rsidRDefault="00D30443" w:rsidP="00146CBE">
      <w:pPr>
        <w:pStyle w:val="NormalWeb"/>
        <w:spacing w:before="300" w:beforeAutospacing="0" w:after="0" w:afterAutospacing="0"/>
        <w:ind w:firstLine="284"/>
        <w:contextualSpacing/>
        <w:rPr>
          <w:bCs/>
          <w:color w:val="374151"/>
          <w:sz w:val="20"/>
          <w:szCs w:val="20"/>
        </w:rPr>
      </w:pPr>
      <w:r w:rsidRPr="00146CBE">
        <w:rPr>
          <w:bCs/>
          <w:color w:val="374151"/>
          <w:sz w:val="20"/>
          <w:szCs w:val="20"/>
        </w:rPr>
        <w:t xml:space="preserve">The surveys and interviews conducted among </w:t>
      </w:r>
      <w:proofErr w:type="gramStart"/>
      <w:r w:rsidRPr="00146CBE">
        <w:rPr>
          <w:bCs/>
          <w:color w:val="374151"/>
          <w:sz w:val="20"/>
          <w:szCs w:val="20"/>
        </w:rPr>
        <w:t>IAD</w:t>
      </w:r>
      <w:proofErr w:type="gramEnd"/>
      <w:r w:rsidRPr="00146CBE">
        <w:rPr>
          <w:bCs/>
          <w:color w:val="374151"/>
          <w:sz w:val="20"/>
          <w:szCs w:val="20"/>
        </w:rPr>
        <w:t xml:space="preserve"> and ABS students provided valuable insights into their collaborative experiences and outcomes of the IDL project. The surveys highlighted the importance of diverse perspectives and thinking styles in enhancing the project, while also identifying communication difficulties as a notable challenge. ABS students reported skill development in visualization techniques and critical analysis. Challenges related to workload, motivation, timetable synchronization, and submission coordination were </w:t>
      </w:r>
      <w:r w:rsidR="00B634DC">
        <w:rPr>
          <w:bCs/>
          <w:color w:val="374151"/>
          <w:sz w:val="20"/>
          <w:szCs w:val="20"/>
        </w:rPr>
        <w:t xml:space="preserve">also </w:t>
      </w:r>
      <w:r w:rsidRPr="00146CBE">
        <w:rPr>
          <w:bCs/>
          <w:color w:val="374151"/>
          <w:sz w:val="20"/>
          <w:szCs w:val="20"/>
        </w:rPr>
        <w:t>observed.</w:t>
      </w:r>
    </w:p>
    <w:p w14:paraId="3C0E78BD" w14:textId="7B293C09" w:rsidR="00D30443" w:rsidRPr="00146CBE" w:rsidRDefault="00D30443" w:rsidP="00146CBE">
      <w:pPr>
        <w:pStyle w:val="NormalWeb"/>
        <w:spacing w:before="300" w:beforeAutospacing="0" w:after="0" w:afterAutospacing="0"/>
        <w:ind w:firstLine="284"/>
        <w:contextualSpacing/>
        <w:rPr>
          <w:bCs/>
          <w:color w:val="374151"/>
          <w:sz w:val="20"/>
          <w:szCs w:val="20"/>
        </w:rPr>
      </w:pPr>
      <w:r w:rsidRPr="00146CBE">
        <w:rPr>
          <w:bCs/>
          <w:color w:val="374151"/>
          <w:sz w:val="20"/>
          <w:szCs w:val="20"/>
        </w:rPr>
        <w:t xml:space="preserve">The interviews with IAD students revealed positive aspects of collaboration with ABS students, including gaining an understanding of their responsibilities and receiving feedback. Challenges included partner commitment, communication difficulties, conflicting perspectives, misalignment in design approaches, and timing issues with submissions. Weaker students benefited from ABS input but experienced decreased ownership and control over the project. </w:t>
      </w:r>
      <w:r w:rsidR="0095672D" w:rsidRPr="0095672D">
        <w:rPr>
          <w:bCs/>
          <w:color w:val="374151"/>
          <w:sz w:val="20"/>
          <w:szCs w:val="20"/>
        </w:rPr>
        <w:t xml:space="preserve">The IDL experience was stressful due to divergent requirements and expectations, but </w:t>
      </w:r>
      <w:r w:rsidR="00916379">
        <w:rPr>
          <w:bCs/>
          <w:color w:val="374151"/>
          <w:sz w:val="20"/>
          <w:szCs w:val="20"/>
        </w:rPr>
        <w:t xml:space="preserve">IAD </w:t>
      </w:r>
      <w:r w:rsidR="0095672D" w:rsidRPr="0095672D">
        <w:rPr>
          <w:bCs/>
          <w:color w:val="374151"/>
          <w:sz w:val="20"/>
          <w:szCs w:val="20"/>
        </w:rPr>
        <w:t xml:space="preserve">students agreed that the data suggested by </w:t>
      </w:r>
      <w:r w:rsidR="00916379">
        <w:rPr>
          <w:bCs/>
          <w:color w:val="374151"/>
          <w:sz w:val="20"/>
          <w:szCs w:val="20"/>
        </w:rPr>
        <w:t>ABS</w:t>
      </w:r>
      <w:r w:rsidR="00E10662">
        <w:rPr>
          <w:bCs/>
          <w:color w:val="374151"/>
          <w:sz w:val="20"/>
          <w:szCs w:val="20"/>
        </w:rPr>
        <w:t xml:space="preserve"> </w:t>
      </w:r>
      <w:r w:rsidR="0095672D" w:rsidRPr="0088009D">
        <w:rPr>
          <w:bCs/>
          <w:color w:val="374151"/>
          <w:sz w:val="20"/>
          <w:szCs w:val="20"/>
        </w:rPr>
        <w:t xml:space="preserve">students helped them solidify their concepts and propose more realistic solutions to </w:t>
      </w:r>
      <w:r w:rsidR="0095672D" w:rsidRPr="00FD0FB4">
        <w:rPr>
          <w:bCs/>
          <w:color w:val="374151"/>
          <w:sz w:val="20"/>
          <w:szCs w:val="20"/>
        </w:rPr>
        <w:t>the client.</w:t>
      </w:r>
    </w:p>
    <w:p w14:paraId="463AC8D3" w14:textId="6D2588B9" w:rsidR="009D3D6E" w:rsidRDefault="00D30443" w:rsidP="009D3D6E">
      <w:pPr>
        <w:pStyle w:val="NormalWeb"/>
        <w:spacing w:before="300" w:beforeAutospacing="0" w:after="0" w:afterAutospacing="0"/>
        <w:ind w:firstLine="284"/>
        <w:contextualSpacing/>
        <w:rPr>
          <w:bCs/>
          <w:color w:val="374151"/>
          <w:sz w:val="20"/>
          <w:szCs w:val="20"/>
        </w:rPr>
      </w:pPr>
      <w:r w:rsidRPr="00146CBE">
        <w:rPr>
          <w:bCs/>
          <w:color w:val="374151"/>
          <w:sz w:val="20"/>
          <w:szCs w:val="20"/>
        </w:rPr>
        <w:t xml:space="preserve">The analysis of engineering students' work reveals significant improvements in their understanding of the subject matter, core skills, and specific design abilities. ABS students without IDL focus exclusively on incorporating technological advancements and designing for energy efficiency in buildings. </w:t>
      </w:r>
      <w:r w:rsidR="007A1D78" w:rsidRPr="0088009D">
        <w:rPr>
          <w:bCs/>
          <w:color w:val="374151"/>
          <w:sz w:val="20"/>
          <w:szCs w:val="20"/>
        </w:rPr>
        <w:t>ABS students, with their interdisciplinary learning (IDL) experience, were equipped to utilize data in order to inform design solutions and create designs that are more adequate and relevant.</w:t>
      </w:r>
      <w:r w:rsidR="007A1D78" w:rsidRPr="00146CBE" w:rsidDel="007A1D78">
        <w:rPr>
          <w:bCs/>
          <w:color w:val="374151"/>
          <w:sz w:val="20"/>
          <w:szCs w:val="20"/>
        </w:rPr>
        <w:t xml:space="preserve"> </w:t>
      </w:r>
      <w:r w:rsidRPr="00146CBE">
        <w:rPr>
          <w:bCs/>
          <w:color w:val="374151"/>
          <w:sz w:val="20"/>
          <w:szCs w:val="20"/>
        </w:rPr>
        <w:t>They also utilize comprehensive simulations for wind, solar, lighting, and façade design, considering factors such as aesthetics</w:t>
      </w:r>
      <w:r w:rsidR="00BF5B9A">
        <w:rPr>
          <w:bCs/>
          <w:color w:val="374151"/>
          <w:sz w:val="20"/>
          <w:szCs w:val="20"/>
        </w:rPr>
        <w:t xml:space="preserve"> and human wellbeing</w:t>
      </w:r>
      <w:r w:rsidR="007A1D78">
        <w:rPr>
          <w:bCs/>
          <w:color w:val="374151"/>
          <w:sz w:val="20"/>
          <w:szCs w:val="20"/>
        </w:rPr>
        <w:t xml:space="preserve"> </w:t>
      </w:r>
      <w:r w:rsidR="007A1D78" w:rsidRPr="0088009D">
        <w:rPr>
          <w:bCs/>
          <w:color w:val="374151"/>
          <w:sz w:val="20"/>
          <w:szCs w:val="20"/>
        </w:rPr>
        <w:t>Through interdisciplinary learning (IDL), ABS students are able to broaden their exploration of design solutions beyond environmental factors of sustainability. They also incorporate human factors into their considerations, thereby encompassing a more comprehensive approach to design.</w:t>
      </w:r>
      <w:r w:rsidR="007A1D78" w:rsidRPr="00146CBE">
        <w:rPr>
          <w:bCs/>
          <w:color w:val="374151"/>
          <w:sz w:val="20"/>
          <w:szCs w:val="20"/>
        </w:rPr>
        <w:t xml:space="preserve"> </w:t>
      </w:r>
      <w:r w:rsidRPr="00146CBE">
        <w:rPr>
          <w:bCs/>
          <w:color w:val="374151"/>
          <w:sz w:val="20"/>
          <w:szCs w:val="20"/>
        </w:rPr>
        <w:t xml:space="preserve">ABS students with IDL conduct life cycle analysis calculations and utilize collaborative software and communication platforms for real-time collaboration and streamlined interactions. They also incorporate design thinking principles and iterative processes into </w:t>
      </w:r>
      <w:r w:rsidR="00916379">
        <w:rPr>
          <w:bCs/>
          <w:color w:val="374151"/>
          <w:sz w:val="20"/>
          <w:szCs w:val="20"/>
        </w:rPr>
        <w:t xml:space="preserve">the </w:t>
      </w:r>
      <w:r w:rsidRPr="00146CBE">
        <w:rPr>
          <w:bCs/>
          <w:color w:val="374151"/>
          <w:sz w:val="20"/>
          <w:szCs w:val="20"/>
        </w:rPr>
        <w:t>environmental analysis. Overall, the findings highlight the positive impact of IDL on ABS students' design skills and their ability to work collaboratively using advanced tools and approaches.</w:t>
      </w:r>
    </w:p>
    <w:p w14:paraId="634DE099" w14:textId="77777777" w:rsidR="00C9011C" w:rsidRDefault="00C9011C" w:rsidP="009D3D6E">
      <w:pPr>
        <w:pStyle w:val="NormalWeb"/>
        <w:spacing w:before="300" w:beforeAutospacing="0" w:after="0" w:afterAutospacing="0"/>
        <w:ind w:firstLine="284"/>
        <w:contextualSpacing/>
        <w:rPr>
          <w:bCs/>
          <w:color w:val="374151"/>
          <w:sz w:val="20"/>
          <w:szCs w:val="20"/>
        </w:rPr>
      </w:pPr>
      <w:r w:rsidRPr="00FD0FB4">
        <w:rPr>
          <w:bCs/>
          <w:color w:val="374151"/>
          <w:sz w:val="20"/>
          <w:szCs w:val="20"/>
        </w:rPr>
        <w:t>Feedback provided by the client indicated that the students effectively addressed their realistic needs and inspired them with tangible innovative solutions.</w:t>
      </w:r>
    </w:p>
    <w:p w14:paraId="6E09F762" w14:textId="142ED27E" w:rsidR="00E9590B" w:rsidRPr="009D3D6E" w:rsidRDefault="00E9590B" w:rsidP="009D3D6E">
      <w:pPr>
        <w:pStyle w:val="NormalWeb"/>
        <w:spacing w:before="300" w:beforeAutospacing="0" w:after="0" w:afterAutospacing="0"/>
        <w:ind w:firstLine="284"/>
        <w:contextualSpacing/>
        <w:rPr>
          <w:bCs/>
          <w:color w:val="374151"/>
          <w:sz w:val="20"/>
          <w:szCs w:val="20"/>
        </w:rPr>
      </w:pPr>
      <w:r w:rsidRPr="009D3D6E">
        <w:rPr>
          <w:bCs/>
          <w:color w:val="374151"/>
          <w:sz w:val="20"/>
          <w:szCs w:val="20"/>
        </w:rPr>
        <w:t xml:space="preserve">Despite the numerous benefits reported by students, such as the preparation for the work environment and the enhancement of critical thinking and communication skills, there are important learning points that should not </w:t>
      </w:r>
      <w:r w:rsidRPr="009D3D6E">
        <w:rPr>
          <w:bCs/>
          <w:color w:val="374151"/>
          <w:sz w:val="20"/>
          <w:szCs w:val="20"/>
        </w:rPr>
        <w:t>be overlooked. These should be incorporated into the design of the Interdisciplinary Learning (IDL) experience to further improve the students' learning journey</w:t>
      </w:r>
      <w:r w:rsidR="00717675" w:rsidRPr="009D3D6E">
        <w:rPr>
          <w:bCs/>
          <w:color w:val="374151"/>
          <w:sz w:val="20"/>
          <w:szCs w:val="20"/>
        </w:rPr>
        <w:t>.</w:t>
      </w:r>
    </w:p>
    <w:p w14:paraId="3010A02E" w14:textId="3DD3BDDC" w:rsidR="00DB2C8B" w:rsidRPr="00DB2C8B" w:rsidRDefault="00DB2C8B" w:rsidP="00DB2C8B">
      <w:pPr>
        <w:pStyle w:val="NormalWeb"/>
        <w:spacing w:before="300" w:beforeAutospacing="0" w:after="0" w:afterAutospacing="0"/>
        <w:ind w:firstLine="284"/>
        <w:contextualSpacing/>
        <w:rPr>
          <w:bCs/>
          <w:color w:val="374151"/>
          <w:sz w:val="20"/>
          <w:szCs w:val="20"/>
        </w:rPr>
      </w:pPr>
      <w:r w:rsidRPr="00DB2C8B">
        <w:rPr>
          <w:bCs/>
          <w:color w:val="374151"/>
          <w:sz w:val="20"/>
          <w:szCs w:val="20"/>
        </w:rPr>
        <w:t xml:space="preserve">According to the feedback provided by </w:t>
      </w:r>
      <w:r w:rsidR="00BF5B9A">
        <w:rPr>
          <w:bCs/>
          <w:color w:val="374151"/>
          <w:sz w:val="20"/>
          <w:szCs w:val="20"/>
        </w:rPr>
        <w:t>d</w:t>
      </w:r>
      <w:r w:rsidRPr="00DB2C8B">
        <w:rPr>
          <w:bCs/>
          <w:color w:val="374151"/>
          <w:sz w:val="20"/>
          <w:szCs w:val="20"/>
        </w:rPr>
        <w:t xml:space="preserve">esign teachers, challenges emerged due to inherent disparities in approaches and perspectives between </w:t>
      </w:r>
      <w:r w:rsidR="00BF5B9A">
        <w:rPr>
          <w:bCs/>
          <w:color w:val="374151"/>
          <w:sz w:val="20"/>
          <w:szCs w:val="20"/>
        </w:rPr>
        <w:t>d</w:t>
      </w:r>
      <w:r w:rsidRPr="00DB2C8B">
        <w:rPr>
          <w:bCs/>
          <w:color w:val="374151"/>
          <w:sz w:val="20"/>
          <w:szCs w:val="20"/>
        </w:rPr>
        <w:t xml:space="preserve">esign and </w:t>
      </w:r>
      <w:r w:rsidR="00BF5B9A">
        <w:rPr>
          <w:bCs/>
          <w:color w:val="374151"/>
          <w:sz w:val="20"/>
          <w:szCs w:val="20"/>
        </w:rPr>
        <w:t>e</w:t>
      </w:r>
      <w:r w:rsidRPr="00DB2C8B">
        <w:rPr>
          <w:bCs/>
          <w:color w:val="374151"/>
          <w:sz w:val="20"/>
          <w:szCs w:val="20"/>
        </w:rPr>
        <w:t xml:space="preserve">ngineering students. Design students exhibit a tendency towards a conceptual orientation, adopting a holistic view of the collected data, while Engineering students lean towards a more focused and specific mindset </w:t>
      </w:r>
      <w:r w:rsidR="00377821" w:rsidRPr="00C6504C">
        <w:rPr>
          <w:bCs/>
          <w:color w:val="374151"/>
          <w:sz w:val="20"/>
          <w:szCs w:val="20"/>
        </w:rPr>
        <w:t>(</w:t>
      </w:r>
      <w:r w:rsidR="00377821" w:rsidRPr="000A25DD">
        <w:rPr>
          <w:bCs/>
          <w:color w:val="374151"/>
          <w:sz w:val="20"/>
          <w:szCs w:val="20"/>
        </w:rPr>
        <w:t>Tan, V., et al, 2019</w:t>
      </w:r>
      <w:r w:rsidR="00F05D7D" w:rsidRPr="000A25DD">
        <w:rPr>
          <w:bCs/>
          <w:color w:val="374151"/>
          <w:sz w:val="20"/>
          <w:szCs w:val="20"/>
        </w:rPr>
        <w:t>)</w:t>
      </w:r>
      <w:r w:rsidR="00F05D7D" w:rsidRPr="006A3E35" w:rsidDel="00377821">
        <w:rPr>
          <w:bCs/>
          <w:color w:val="374151"/>
          <w:sz w:val="20"/>
          <w:szCs w:val="20"/>
        </w:rPr>
        <w:t>,</w:t>
      </w:r>
      <w:r w:rsidRPr="00DB2C8B">
        <w:rPr>
          <w:bCs/>
          <w:color w:val="374151"/>
          <w:sz w:val="20"/>
          <w:szCs w:val="20"/>
        </w:rPr>
        <w:t xml:space="preserve"> primarily concerned with translating the gathered information into tangible design elements. Consequently, Design students engage in exploring various iterations of intentions and conceptual ideas for the overall design, while Engineering students concentrate on specifying precise sizes and locations of components such as fans and openings. This divergence in perspective created misalignments regarding the perceived significance of information at different stages of the design process. Furthermore, the students' </w:t>
      </w:r>
      <w:r w:rsidR="00ED1ACB" w:rsidRPr="00DB2C8B">
        <w:rPr>
          <w:bCs/>
          <w:color w:val="374151"/>
          <w:sz w:val="20"/>
          <w:szCs w:val="20"/>
        </w:rPr>
        <w:t>limited maturity</w:t>
      </w:r>
      <w:r w:rsidRPr="00DB2C8B">
        <w:rPr>
          <w:bCs/>
          <w:color w:val="374151"/>
          <w:sz w:val="20"/>
          <w:szCs w:val="20"/>
        </w:rPr>
        <w:t xml:space="preserve"> hindered their ability to synthesize the collected information and translate it into relevant insights that could be effectively shared among their peers </w:t>
      </w:r>
      <w:r w:rsidR="00D34D78" w:rsidRPr="002C7C42">
        <w:rPr>
          <w:bCs/>
          <w:color w:val="374151"/>
          <w:sz w:val="20"/>
          <w:szCs w:val="20"/>
        </w:rPr>
        <w:t>(</w:t>
      </w:r>
      <w:r w:rsidR="00D34D78" w:rsidRPr="000A25DD">
        <w:rPr>
          <w:bCs/>
          <w:color w:val="374151"/>
        </w:rPr>
        <w:t>Swan, et.al. 2020</w:t>
      </w:r>
      <w:r w:rsidR="00D34D78" w:rsidRPr="002C7C42">
        <w:rPr>
          <w:bCs/>
          <w:color w:val="374151"/>
          <w:sz w:val="20"/>
          <w:szCs w:val="20"/>
        </w:rPr>
        <w:t>)</w:t>
      </w:r>
      <w:r w:rsidRPr="00DB2C8B">
        <w:rPr>
          <w:bCs/>
          <w:color w:val="374151"/>
          <w:sz w:val="20"/>
          <w:szCs w:val="20"/>
        </w:rPr>
        <w:t>. As a result, during the concept phase, Design and Engineering students appeared to be communicating in different languages, making it challenging for them to establish a shared understanding of the pro</w:t>
      </w:r>
      <w:r w:rsidR="00566CD7">
        <w:rPr>
          <w:bCs/>
          <w:color w:val="374151"/>
          <w:sz w:val="20"/>
          <w:szCs w:val="20"/>
        </w:rPr>
        <w:softHyphen/>
      </w:r>
      <w:r w:rsidR="00566CD7">
        <w:rPr>
          <w:bCs/>
          <w:color w:val="374151"/>
          <w:sz w:val="20"/>
          <w:szCs w:val="20"/>
        </w:rPr>
        <w:softHyphen/>
      </w:r>
      <w:r w:rsidRPr="00DB2C8B">
        <w:rPr>
          <w:bCs/>
          <w:color w:val="374151"/>
          <w:sz w:val="20"/>
          <w:szCs w:val="20"/>
        </w:rPr>
        <w:t>ject.</w:t>
      </w:r>
    </w:p>
    <w:p w14:paraId="08DDC65A" w14:textId="390F80E0" w:rsidR="00DB2C8B" w:rsidRPr="00DB2C8B" w:rsidRDefault="00DB2C8B" w:rsidP="00DB2C8B">
      <w:pPr>
        <w:pStyle w:val="NormalWeb"/>
        <w:spacing w:before="300" w:beforeAutospacing="0" w:after="0" w:afterAutospacing="0"/>
        <w:ind w:firstLine="284"/>
        <w:contextualSpacing/>
        <w:rPr>
          <w:bCs/>
          <w:color w:val="374151"/>
          <w:sz w:val="20"/>
          <w:szCs w:val="20"/>
        </w:rPr>
      </w:pPr>
      <w:r w:rsidRPr="00DB2C8B">
        <w:rPr>
          <w:bCs/>
          <w:color w:val="374151"/>
          <w:sz w:val="20"/>
          <w:szCs w:val="20"/>
        </w:rPr>
        <w:t xml:space="preserve">The existence of divergent working cultures between </w:t>
      </w:r>
      <w:r w:rsidR="00BF5B9A">
        <w:rPr>
          <w:bCs/>
          <w:color w:val="374151"/>
          <w:sz w:val="20"/>
          <w:szCs w:val="20"/>
        </w:rPr>
        <w:t>d</w:t>
      </w:r>
      <w:r w:rsidRPr="00DB2C8B">
        <w:rPr>
          <w:bCs/>
          <w:color w:val="374151"/>
          <w:sz w:val="20"/>
          <w:szCs w:val="20"/>
        </w:rPr>
        <w:t xml:space="preserve">esign and </w:t>
      </w:r>
      <w:r w:rsidR="00BF5B9A">
        <w:rPr>
          <w:bCs/>
          <w:color w:val="374151"/>
          <w:sz w:val="20"/>
          <w:szCs w:val="20"/>
        </w:rPr>
        <w:t>e</w:t>
      </w:r>
      <w:r w:rsidRPr="00DB2C8B">
        <w:rPr>
          <w:bCs/>
          <w:color w:val="374151"/>
          <w:sz w:val="20"/>
          <w:szCs w:val="20"/>
        </w:rPr>
        <w:t xml:space="preserve">ngineering students further contributed to the misalignment, particularly in terms of embracing change as an integral part of design development. The design process inherently involves </w:t>
      </w:r>
      <w:r w:rsidR="00916379">
        <w:rPr>
          <w:bCs/>
          <w:color w:val="374151"/>
          <w:sz w:val="20"/>
          <w:szCs w:val="20"/>
        </w:rPr>
        <w:t xml:space="preserve">the </w:t>
      </w:r>
      <w:r w:rsidRPr="00DB2C8B">
        <w:rPr>
          <w:bCs/>
          <w:color w:val="374151"/>
          <w:sz w:val="20"/>
          <w:szCs w:val="20"/>
        </w:rPr>
        <w:t>iterative refinement of ideas, demanding extensive dedication, passion, and a constant drive for improvement</w:t>
      </w:r>
      <w:r w:rsidR="00476602">
        <w:rPr>
          <w:bCs/>
          <w:color w:val="374151"/>
          <w:sz w:val="20"/>
          <w:szCs w:val="20"/>
        </w:rPr>
        <w:t xml:space="preserve"> (</w:t>
      </w:r>
      <w:r w:rsidR="001D77E3" w:rsidRPr="00366248">
        <w:rPr>
          <w:color w:val="232323"/>
          <w:sz w:val="20"/>
          <w:szCs w:val="20"/>
        </w:rPr>
        <w:t>Brown,</w:t>
      </w:r>
      <w:r w:rsidR="00476602">
        <w:rPr>
          <w:color w:val="232323"/>
          <w:sz w:val="20"/>
          <w:szCs w:val="20"/>
        </w:rPr>
        <w:t xml:space="preserve"> </w:t>
      </w:r>
      <w:r w:rsidR="001D77E3" w:rsidRPr="00366248">
        <w:rPr>
          <w:color w:val="232323"/>
          <w:sz w:val="20"/>
          <w:szCs w:val="20"/>
        </w:rPr>
        <w:t>2008).</w:t>
      </w:r>
      <w:r w:rsidR="001D77E3" w:rsidRPr="00EF0A72" w:rsidDel="001D77E3">
        <w:rPr>
          <w:bCs/>
          <w:color w:val="374151"/>
          <w:sz w:val="20"/>
          <w:szCs w:val="20"/>
        </w:rPr>
        <w:t xml:space="preserve"> </w:t>
      </w:r>
      <w:r w:rsidRPr="00DB2C8B">
        <w:rPr>
          <w:bCs/>
          <w:color w:val="374151"/>
          <w:sz w:val="20"/>
          <w:szCs w:val="20"/>
        </w:rPr>
        <w:t xml:space="preserve">However, </w:t>
      </w:r>
      <w:r w:rsidR="00BF5B9A">
        <w:rPr>
          <w:bCs/>
          <w:color w:val="374151"/>
          <w:sz w:val="20"/>
          <w:szCs w:val="20"/>
        </w:rPr>
        <w:t>e</w:t>
      </w:r>
      <w:r w:rsidRPr="00DB2C8B">
        <w:rPr>
          <w:bCs/>
          <w:color w:val="374151"/>
          <w:sz w:val="20"/>
          <w:szCs w:val="20"/>
        </w:rPr>
        <w:t xml:space="preserve">ngineering students may perceive frequent changes as inefficient and frustrating. Unlike </w:t>
      </w:r>
      <w:r w:rsidR="00BF5B9A">
        <w:rPr>
          <w:bCs/>
          <w:color w:val="374151"/>
          <w:sz w:val="20"/>
          <w:szCs w:val="20"/>
        </w:rPr>
        <w:t>d</w:t>
      </w:r>
      <w:r w:rsidRPr="00DB2C8B">
        <w:rPr>
          <w:bCs/>
          <w:color w:val="374151"/>
          <w:sz w:val="20"/>
          <w:szCs w:val="20"/>
        </w:rPr>
        <w:t xml:space="preserve">esign students, </w:t>
      </w:r>
      <w:r w:rsidR="00BF5B9A">
        <w:rPr>
          <w:bCs/>
          <w:color w:val="374151"/>
          <w:sz w:val="20"/>
          <w:szCs w:val="20"/>
        </w:rPr>
        <w:t>e</w:t>
      </w:r>
      <w:r w:rsidRPr="00DB2C8B">
        <w:rPr>
          <w:bCs/>
          <w:color w:val="374151"/>
          <w:sz w:val="20"/>
          <w:szCs w:val="20"/>
        </w:rPr>
        <w:t xml:space="preserve">ngineering students typically do not embrace iterative approaches; instead, they tend to envision a final product from the beginning of the process and work towards achieving that predetermined outcome </w:t>
      </w:r>
      <w:r w:rsidR="002054BE">
        <w:rPr>
          <w:bCs/>
          <w:color w:val="374151"/>
          <w:sz w:val="20"/>
          <w:szCs w:val="20"/>
        </w:rPr>
        <w:t>(</w:t>
      </w:r>
      <w:proofErr w:type="spellStart"/>
      <w:r w:rsidR="002054BE" w:rsidRPr="000A25DD">
        <w:rPr>
          <w:bCs/>
          <w:color w:val="374151"/>
          <w:sz w:val="20"/>
          <w:szCs w:val="20"/>
        </w:rPr>
        <w:t>Nieusma</w:t>
      </w:r>
      <w:proofErr w:type="spellEnd"/>
      <w:r w:rsidR="002054BE" w:rsidRPr="000A25DD">
        <w:rPr>
          <w:bCs/>
          <w:color w:val="374151"/>
          <w:sz w:val="20"/>
          <w:szCs w:val="20"/>
        </w:rPr>
        <w:t>, D, 2018).</w:t>
      </w:r>
      <w:r w:rsidR="002054BE" w:rsidRPr="002054BE" w:rsidDel="002054BE">
        <w:rPr>
          <w:bCs/>
          <w:color w:val="374151"/>
          <w:sz w:val="20"/>
          <w:szCs w:val="20"/>
        </w:rPr>
        <w:t xml:space="preserve"> </w:t>
      </w:r>
      <w:r w:rsidRPr="00DB2C8B">
        <w:rPr>
          <w:bCs/>
          <w:color w:val="374151"/>
          <w:sz w:val="20"/>
          <w:szCs w:val="20"/>
        </w:rPr>
        <w:t xml:space="preserve">This difference in working approach did not align with the evolving concepts developed by </w:t>
      </w:r>
      <w:r w:rsidR="00BF5B9A">
        <w:rPr>
          <w:bCs/>
          <w:color w:val="374151"/>
          <w:sz w:val="20"/>
          <w:szCs w:val="20"/>
        </w:rPr>
        <w:t>d</w:t>
      </w:r>
      <w:r w:rsidRPr="00DB2C8B">
        <w:rPr>
          <w:bCs/>
          <w:color w:val="374151"/>
          <w:sz w:val="20"/>
          <w:szCs w:val="20"/>
        </w:rPr>
        <w:t>esign students.</w:t>
      </w:r>
    </w:p>
    <w:p w14:paraId="6A3AFAA2" w14:textId="6932B226" w:rsidR="00B40F4F" w:rsidRDefault="0095672D" w:rsidP="00DB2C8B">
      <w:pPr>
        <w:pStyle w:val="NormalWeb"/>
        <w:spacing w:before="300" w:beforeAutospacing="0" w:after="0" w:afterAutospacing="0"/>
        <w:ind w:firstLine="284"/>
        <w:contextualSpacing/>
        <w:rPr>
          <w:rFonts w:ascii="Segoe UI" w:hAnsi="Segoe UI" w:cs="Segoe UI"/>
          <w:color w:val="374151"/>
          <w:shd w:val="clear" w:color="auto" w:fill="F7F7F8"/>
        </w:rPr>
      </w:pPr>
      <w:r w:rsidRPr="00B40F4F">
        <w:rPr>
          <w:bCs/>
          <w:color w:val="374151"/>
          <w:sz w:val="20"/>
          <w:szCs w:val="20"/>
        </w:rPr>
        <w:t xml:space="preserve">Moreover, a restricted number of students were granted access to simulations depicting the projected building's environmental </w:t>
      </w:r>
      <w:r w:rsidR="00B40F4F" w:rsidRPr="00B40F4F">
        <w:rPr>
          <w:bCs/>
          <w:color w:val="374151"/>
          <w:sz w:val="20"/>
          <w:szCs w:val="20"/>
        </w:rPr>
        <w:t>behaviour</w:t>
      </w:r>
      <w:r w:rsidRPr="00B40F4F">
        <w:rPr>
          <w:bCs/>
          <w:color w:val="374151"/>
          <w:sz w:val="20"/>
          <w:szCs w:val="20"/>
        </w:rPr>
        <w:t xml:space="preserve">, which were shared belatedly in the design phase. This limited availability of simulations hindered </w:t>
      </w:r>
      <w:r w:rsidR="00BF5B9A">
        <w:rPr>
          <w:bCs/>
          <w:color w:val="374151"/>
          <w:sz w:val="20"/>
          <w:szCs w:val="20"/>
        </w:rPr>
        <w:t>d</w:t>
      </w:r>
      <w:r w:rsidRPr="00B40F4F">
        <w:rPr>
          <w:bCs/>
          <w:color w:val="374151"/>
          <w:sz w:val="20"/>
          <w:szCs w:val="20"/>
        </w:rPr>
        <w:t>esign students from effectively assimilating valuable experiential knowledge and impeded their capacity to incorporate essential modifications in response to the simulation outcomes</w:t>
      </w:r>
      <w:r w:rsidR="00B40F4F" w:rsidRPr="00B40F4F">
        <w:rPr>
          <w:bCs/>
          <w:color w:val="374151"/>
          <w:sz w:val="20"/>
          <w:szCs w:val="20"/>
        </w:rPr>
        <w:t>.</w:t>
      </w:r>
    </w:p>
    <w:p w14:paraId="3F0F2E2B" w14:textId="39B4DACF" w:rsidR="00DB2C8B" w:rsidRPr="00DB2C8B" w:rsidRDefault="00DB2C8B" w:rsidP="00DB2C8B">
      <w:pPr>
        <w:pStyle w:val="NormalWeb"/>
        <w:spacing w:before="300" w:beforeAutospacing="0" w:after="0" w:afterAutospacing="0"/>
        <w:ind w:firstLine="284"/>
        <w:contextualSpacing/>
        <w:rPr>
          <w:bCs/>
          <w:color w:val="374151"/>
          <w:sz w:val="20"/>
          <w:szCs w:val="20"/>
        </w:rPr>
      </w:pPr>
      <w:r w:rsidRPr="00DB2C8B">
        <w:rPr>
          <w:bCs/>
          <w:color w:val="374151"/>
          <w:sz w:val="20"/>
          <w:szCs w:val="20"/>
        </w:rPr>
        <w:t xml:space="preserve">Based on these findings, it is crucial to address communication difficulties, workload management, motivation levels, and scheduling coordination to enhance future interdisciplinary collaborations. </w:t>
      </w:r>
    </w:p>
    <w:p w14:paraId="446B040C" w14:textId="508486F8" w:rsidR="00DB2C8B" w:rsidRPr="00DB2C8B" w:rsidRDefault="00DB2C8B" w:rsidP="00DB2C8B">
      <w:pPr>
        <w:pStyle w:val="NormalWeb"/>
        <w:spacing w:before="300" w:beforeAutospacing="0" w:after="0" w:afterAutospacing="0"/>
        <w:ind w:firstLine="284"/>
        <w:contextualSpacing/>
        <w:rPr>
          <w:bCs/>
          <w:color w:val="374151"/>
          <w:sz w:val="20"/>
          <w:szCs w:val="20"/>
        </w:rPr>
      </w:pPr>
      <w:r w:rsidRPr="00DB2C8B">
        <w:rPr>
          <w:bCs/>
          <w:color w:val="374151"/>
          <w:sz w:val="20"/>
          <w:szCs w:val="20"/>
        </w:rPr>
        <w:t xml:space="preserve">To address these challenges and enhance future collaborations, several recommendations were proposed. </w:t>
      </w:r>
      <w:r w:rsidRPr="0095672D">
        <w:rPr>
          <w:bCs/>
          <w:color w:val="374151"/>
          <w:sz w:val="20"/>
          <w:szCs w:val="20"/>
        </w:rPr>
        <w:t xml:space="preserve">An initial </w:t>
      </w:r>
      <w:r w:rsidR="00206A58">
        <w:rPr>
          <w:bCs/>
          <w:color w:val="374151"/>
          <w:sz w:val="20"/>
          <w:szCs w:val="20"/>
        </w:rPr>
        <w:t>ice breaker</w:t>
      </w:r>
      <w:r w:rsidR="00206A58" w:rsidRPr="0095672D">
        <w:rPr>
          <w:bCs/>
          <w:color w:val="374151"/>
          <w:sz w:val="20"/>
          <w:szCs w:val="20"/>
        </w:rPr>
        <w:t xml:space="preserve"> session</w:t>
      </w:r>
      <w:r w:rsidRPr="0095672D">
        <w:rPr>
          <w:bCs/>
          <w:color w:val="374151"/>
          <w:sz w:val="20"/>
          <w:szCs w:val="20"/>
        </w:rPr>
        <w:t xml:space="preserve"> is of key relevance to help students from different diplomas to </w:t>
      </w:r>
      <w:r w:rsidRPr="0095672D">
        <w:rPr>
          <w:bCs/>
          <w:color w:val="374151"/>
          <w:sz w:val="20"/>
          <w:szCs w:val="20"/>
        </w:rPr>
        <w:lastRenderedPageBreak/>
        <w:t>gain the trust needed as a base for collaboration</w:t>
      </w:r>
      <w:r w:rsidRPr="00DB2C8B">
        <w:rPr>
          <w:bCs/>
          <w:color w:val="374151"/>
          <w:sz w:val="20"/>
          <w:szCs w:val="20"/>
        </w:rPr>
        <w:t xml:space="preserve">. The kick-off briefing should clearly define the different stages of collaboration throughout the design process, emphasizing the need for a breakdown of critical stages and specific deliverables. Regular joint briefings throughout the semester should be implemented to facilitate progress updates and enable effective feedback exchanges between </w:t>
      </w:r>
      <w:r w:rsidR="00BF5B9A">
        <w:rPr>
          <w:bCs/>
          <w:color w:val="374151"/>
          <w:sz w:val="20"/>
          <w:szCs w:val="20"/>
        </w:rPr>
        <w:t>d</w:t>
      </w:r>
      <w:r w:rsidRPr="00DB2C8B">
        <w:rPr>
          <w:bCs/>
          <w:color w:val="374151"/>
          <w:sz w:val="20"/>
          <w:szCs w:val="20"/>
        </w:rPr>
        <w:t xml:space="preserve">esign and </w:t>
      </w:r>
      <w:r w:rsidR="00BF5B9A">
        <w:rPr>
          <w:bCs/>
          <w:color w:val="374151"/>
          <w:sz w:val="20"/>
          <w:szCs w:val="20"/>
        </w:rPr>
        <w:t>e</w:t>
      </w:r>
      <w:r w:rsidRPr="00DB2C8B">
        <w:rPr>
          <w:bCs/>
          <w:color w:val="374151"/>
          <w:sz w:val="20"/>
          <w:szCs w:val="20"/>
        </w:rPr>
        <w:t>ngineering students.</w:t>
      </w:r>
    </w:p>
    <w:p w14:paraId="44460D73" w14:textId="7A6DAACC" w:rsidR="00DB2C8B" w:rsidRDefault="00DB2C8B" w:rsidP="00DB2C8B">
      <w:pPr>
        <w:pStyle w:val="NormalWeb"/>
        <w:spacing w:before="300" w:beforeAutospacing="0" w:after="0" w:afterAutospacing="0"/>
        <w:ind w:firstLine="284"/>
        <w:contextualSpacing/>
        <w:rPr>
          <w:bCs/>
          <w:color w:val="374151"/>
          <w:sz w:val="20"/>
          <w:szCs w:val="20"/>
        </w:rPr>
      </w:pPr>
      <w:r w:rsidRPr="00DB2C8B">
        <w:rPr>
          <w:bCs/>
          <w:color w:val="374151"/>
          <w:sz w:val="20"/>
          <w:szCs w:val="20"/>
        </w:rPr>
        <w:t>In addition, it is necessary to re</w:t>
      </w:r>
      <w:r w:rsidR="00BF5B9A">
        <w:rPr>
          <w:bCs/>
          <w:color w:val="374151"/>
          <w:sz w:val="20"/>
          <w:szCs w:val="20"/>
        </w:rPr>
        <w:t>-</w:t>
      </w:r>
      <w:r w:rsidRPr="00DB2C8B">
        <w:rPr>
          <w:bCs/>
          <w:color w:val="374151"/>
          <w:sz w:val="20"/>
          <w:szCs w:val="20"/>
        </w:rPr>
        <w:t xml:space="preserve">evaluate the timing of sharing key data between </w:t>
      </w:r>
      <w:r w:rsidR="00BF5B9A">
        <w:rPr>
          <w:bCs/>
          <w:color w:val="374151"/>
          <w:sz w:val="20"/>
          <w:szCs w:val="20"/>
        </w:rPr>
        <w:t>d</w:t>
      </w:r>
      <w:r w:rsidRPr="00DB2C8B">
        <w:rPr>
          <w:bCs/>
          <w:color w:val="374151"/>
          <w:sz w:val="20"/>
          <w:szCs w:val="20"/>
        </w:rPr>
        <w:t xml:space="preserve">esign and </w:t>
      </w:r>
      <w:r w:rsidR="00BF5B9A">
        <w:rPr>
          <w:bCs/>
          <w:color w:val="374151"/>
          <w:sz w:val="20"/>
          <w:szCs w:val="20"/>
        </w:rPr>
        <w:t>e</w:t>
      </w:r>
      <w:r w:rsidRPr="00DB2C8B">
        <w:rPr>
          <w:bCs/>
          <w:color w:val="374151"/>
          <w:sz w:val="20"/>
          <w:szCs w:val="20"/>
        </w:rPr>
        <w:t xml:space="preserve">ngineering students. In an industry context, professionals have the ability to synthesize and extract valuable insights from various fields of work, integrating them coherently into the design process. However, as students are still acquiring knowledge and have not yet reached </w:t>
      </w:r>
      <w:r w:rsidR="00BF5B9A">
        <w:rPr>
          <w:bCs/>
          <w:color w:val="374151"/>
          <w:sz w:val="20"/>
          <w:szCs w:val="20"/>
        </w:rPr>
        <w:t xml:space="preserve">a more </w:t>
      </w:r>
      <w:r w:rsidR="00BF5B9A" w:rsidRPr="0088009D">
        <w:rPr>
          <w:bCs/>
          <w:color w:val="374151"/>
          <w:sz w:val="20"/>
          <w:szCs w:val="20"/>
        </w:rPr>
        <w:t>advanced phase of analytical reasoning</w:t>
      </w:r>
      <w:r w:rsidRPr="00DB2C8B">
        <w:rPr>
          <w:bCs/>
          <w:color w:val="374151"/>
          <w:sz w:val="20"/>
          <w:szCs w:val="20"/>
        </w:rPr>
        <w:t xml:space="preserve">, they may struggle to </w:t>
      </w:r>
      <w:r w:rsidR="00916379" w:rsidRPr="00DB2C8B">
        <w:rPr>
          <w:bCs/>
          <w:color w:val="374151"/>
          <w:sz w:val="20"/>
          <w:szCs w:val="20"/>
        </w:rPr>
        <w:t>distil</w:t>
      </w:r>
      <w:r w:rsidRPr="00DB2C8B">
        <w:rPr>
          <w:bCs/>
          <w:color w:val="374151"/>
          <w:sz w:val="20"/>
          <w:szCs w:val="20"/>
        </w:rPr>
        <w:t xml:space="preserve"> and effectively communicate information </w:t>
      </w:r>
      <w:r w:rsidRPr="002C7C42">
        <w:rPr>
          <w:bCs/>
          <w:color w:val="374151"/>
          <w:sz w:val="20"/>
          <w:szCs w:val="20"/>
        </w:rPr>
        <w:t>(</w:t>
      </w:r>
      <w:r w:rsidR="00EE0060" w:rsidRPr="002C7C42">
        <w:rPr>
          <w:rStyle w:val="ui-provider"/>
          <w:sz w:val="20"/>
          <w:szCs w:val="20"/>
        </w:rPr>
        <w:t>Swan, et.al. 2020</w:t>
      </w:r>
      <w:r w:rsidRPr="002C7C42">
        <w:rPr>
          <w:bCs/>
          <w:color w:val="374151"/>
          <w:sz w:val="20"/>
          <w:szCs w:val="20"/>
        </w:rPr>
        <w:t xml:space="preserve">). </w:t>
      </w:r>
      <w:r w:rsidRPr="00DB2C8B">
        <w:rPr>
          <w:bCs/>
          <w:color w:val="374151"/>
          <w:sz w:val="20"/>
          <w:szCs w:val="20"/>
        </w:rPr>
        <w:t xml:space="preserve">To optimize the outcomes of this collaboration, we have determined that students need sufficient time to acquire new skills, </w:t>
      </w:r>
      <w:r w:rsidR="00BF5B9A" w:rsidRPr="00DB2C8B">
        <w:rPr>
          <w:bCs/>
          <w:color w:val="374151"/>
          <w:sz w:val="20"/>
          <w:szCs w:val="20"/>
        </w:rPr>
        <w:t>distil</w:t>
      </w:r>
      <w:r w:rsidRPr="00DB2C8B">
        <w:rPr>
          <w:bCs/>
          <w:color w:val="374151"/>
          <w:sz w:val="20"/>
          <w:szCs w:val="20"/>
        </w:rPr>
        <w:t xml:space="preserve"> information, and share it with their peers in a more coherent manner. This process prepares them for more intensive collaboration in an industry setting.</w:t>
      </w:r>
    </w:p>
    <w:p w14:paraId="414A9409" w14:textId="71BB7983" w:rsidR="00E9590B" w:rsidRPr="009D3D6E" w:rsidRDefault="00E9590B" w:rsidP="009D3D6E">
      <w:pPr>
        <w:pStyle w:val="NormalWeb"/>
        <w:spacing w:before="300" w:beforeAutospacing="0" w:after="0" w:afterAutospacing="0"/>
        <w:ind w:firstLine="284"/>
        <w:contextualSpacing/>
        <w:rPr>
          <w:bCs/>
          <w:color w:val="374151"/>
          <w:sz w:val="20"/>
          <w:szCs w:val="20"/>
        </w:rPr>
      </w:pPr>
      <w:r w:rsidRPr="009D3D6E">
        <w:rPr>
          <w:bCs/>
          <w:color w:val="374151"/>
          <w:sz w:val="20"/>
          <w:szCs w:val="20"/>
        </w:rPr>
        <w:t xml:space="preserve">To facilitate this, we propose that in the initial stages of the design process, students should build upon each other's work. </w:t>
      </w:r>
      <w:r w:rsidR="00BF5B9A">
        <w:rPr>
          <w:bCs/>
          <w:color w:val="374151"/>
          <w:sz w:val="20"/>
          <w:szCs w:val="20"/>
        </w:rPr>
        <w:t>d</w:t>
      </w:r>
      <w:r w:rsidRPr="009D3D6E">
        <w:rPr>
          <w:bCs/>
          <w:color w:val="374151"/>
          <w:sz w:val="20"/>
          <w:szCs w:val="20"/>
        </w:rPr>
        <w:t xml:space="preserve">esign students can begin with a holistic understanding of the site, while </w:t>
      </w:r>
      <w:r w:rsidR="00BF5B9A">
        <w:rPr>
          <w:bCs/>
          <w:color w:val="374151"/>
          <w:sz w:val="20"/>
          <w:szCs w:val="20"/>
        </w:rPr>
        <w:t>e</w:t>
      </w:r>
      <w:r w:rsidRPr="009D3D6E">
        <w:rPr>
          <w:bCs/>
          <w:color w:val="374151"/>
          <w:sz w:val="20"/>
          <w:szCs w:val="20"/>
        </w:rPr>
        <w:t xml:space="preserve">ngineering students adopt a more data-oriented perspective. They can exchange their findings during the design brief stage. Design students should then incorporate the input from </w:t>
      </w:r>
      <w:r w:rsidR="00BF5B9A">
        <w:rPr>
          <w:bCs/>
          <w:color w:val="374151"/>
          <w:sz w:val="20"/>
          <w:szCs w:val="20"/>
        </w:rPr>
        <w:t>e</w:t>
      </w:r>
      <w:r w:rsidRPr="009D3D6E">
        <w:rPr>
          <w:bCs/>
          <w:color w:val="374151"/>
          <w:sz w:val="20"/>
          <w:szCs w:val="20"/>
        </w:rPr>
        <w:t xml:space="preserve">ngineering students into their exploration of concepts and ideas. Engineering students can progressively develop essential skills to </w:t>
      </w:r>
      <w:r w:rsidR="003853F2" w:rsidRPr="009D3D6E">
        <w:rPr>
          <w:bCs/>
          <w:color w:val="374151"/>
          <w:sz w:val="20"/>
          <w:szCs w:val="20"/>
        </w:rPr>
        <w:t>support design</w:t>
      </w:r>
      <w:r w:rsidRPr="009D3D6E">
        <w:rPr>
          <w:bCs/>
          <w:color w:val="374151"/>
          <w:sz w:val="20"/>
          <w:szCs w:val="20"/>
        </w:rPr>
        <w:t xml:space="preserve"> development, such as Revit </w:t>
      </w:r>
      <w:proofErr w:type="spellStart"/>
      <w:r w:rsidRPr="009D3D6E">
        <w:rPr>
          <w:bCs/>
          <w:color w:val="374151"/>
          <w:sz w:val="20"/>
          <w:szCs w:val="20"/>
        </w:rPr>
        <w:t>modeling</w:t>
      </w:r>
      <w:proofErr w:type="spellEnd"/>
      <w:r w:rsidRPr="009D3D6E">
        <w:rPr>
          <w:bCs/>
          <w:color w:val="374151"/>
          <w:sz w:val="20"/>
          <w:szCs w:val="20"/>
        </w:rPr>
        <w:t xml:space="preserve"> and compliance with </w:t>
      </w:r>
      <w:r w:rsidR="00BF5B9A">
        <w:rPr>
          <w:bCs/>
          <w:color w:val="374151"/>
          <w:sz w:val="20"/>
          <w:szCs w:val="20"/>
        </w:rPr>
        <w:t>local green building rating</w:t>
      </w:r>
      <w:r w:rsidRPr="009D3D6E">
        <w:rPr>
          <w:bCs/>
          <w:color w:val="374151"/>
          <w:sz w:val="20"/>
          <w:szCs w:val="20"/>
        </w:rPr>
        <w:t xml:space="preserve"> regulations.</w:t>
      </w:r>
    </w:p>
    <w:p w14:paraId="651E04F8" w14:textId="48CF3471" w:rsidR="00E9590B" w:rsidRPr="009D3D6E" w:rsidRDefault="00E9590B" w:rsidP="009D3D6E">
      <w:pPr>
        <w:pStyle w:val="NormalWeb"/>
        <w:spacing w:before="300" w:beforeAutospacing="0" w:after="0" w:afterAutospacing="0"/>
        <w:ind w:firstLine="284"/>
        <w:contextualSpacing/>
        <w:rPr>
          <w:bCs/>
          <w:color w:val="374151"/>
          <w:sz w:val="20"/>
          <w:szCs w:val="20"/>
        </w:rPr>
      </w:pPr>
      <w:r w:rsidRPr="009D3D6E">
        <w:rPr>
          <w:bCs/>
          <w:color w:val="374151"/>
          <w:sz w:val="20"/>
          <w:szCs w:val="20"/>
        </w:rPr>
        <w:t xml:space="preserve">During the concept phase, </w:t>
      </w:r>
      <w:r w:rsidR="00BF5B9A">
        <w:rPr>
          <w:bCs/>
          <w:color w:val="374151"/>
          <w:sz w:val="20"/>
          <w:szCs w:val="20"/>
        </w:rPr>
        <w:t>d</w:t>
      </w:r>
      <w:r w:rsidRPr="009D3D6E">
        <w:rPr>
          <w:bCs/>
          <w:color w:val="374151"/>
          <w:sz w:val="20"/>
          <w:szCs w:val="20"/>
        </w:rPr>
        <w:t xml:space="preserve">esign students should share their </w:t>
      </w:r>
      <w:r w:rsidR="00BF5B9A">
        <w:rPr>
          <w:bCs/>
          <w:color w:val="374151"/>
          <w:sz w:val="20"/>
          <w:szCs w:val="20"/>
        </w:rPr>
        <w:t xml:space="preserve">concepts and </w:t>
      </w:r>
      <w:r w:rsidRPr="009D3D6E">
        <w:rPr>
          <w:bCs/>
          <w:color w:val="374151"/>
          <w:sz w:val="20"/>
          <w:szCs w:val="20"/>
        </w:rPr>
        <w:t xml:space="preserve">ideas with </w:t>
      </w:r>
      <w:r w:rsidR="00BF5B9A">
        <w:rPr>
          <w:bCs/>
          <w:color w:val="374151"/>
          <w:sz w:val="20"/>
          <w:szCs w:val="20"/>
        </w:rPr>
        <w:t>e</w:t>
      </w:r>
      <w:r w:rsidRPr="009D3D6E">
        <w:rPr>
          <w:bCs/>
          <w:color w:val="374151"/>
          <w:sz w:val="20"/>
          <w:szCs w:val="20"/>
        </w:rPr>
        <w:t xml:space="preserve">ngineering students, who can utilize them as a foundation for conducting simulations. At the beginning of the Schematic Design phase, </w:t>
      </w:r>
      <w:r w:rsidR="002A70E5">
        <w:rPr>
          <w:bCs/>
          <w:color w:val="374151"/>
          <w:sz w:val="20"/>
          <w:szCs w:val="20"/>
        </w:rPr>
        <w:t>e</w:t>
      </w:r>
      <w:r w:rsidRPr="009D3D6E">
        <w:rPr>
          <w:bCs/>
          <w:color w:val="374151"/>
          <w:sz w:val="20"/>
          <w:szCs w:val="20"/>
        </w:rPr>
        <w:t xml:space="preserve">ngineering students should share their findings on how the proposed buildings interact with environmental elements. Design students should then revise the project to optimize building performance. Throughout the Schematic Design phase, </w:t>
      </w:r>
      <w:r w:rsidR="002A70E5">
        <w:rPr>
          <w:bCs/>
          <w:color w:val="374151"/>
          <w:sz w:val="20"/>
          <w:szCs w:val="20"/>
        </w:rPr>
        <w:t>e</w:t>
      </w:r>
      <w:r w:rsidRPr="009D3D6E">
        <w:rPr>
          <w:bCs/>
          <w:color w:val="374151"/>
          <w:sz w:val="20"/>
          <w:szCs w:val="20"/>
        </w:rPr>
        <w:t xml:space="preserve">ngineering students should collaborate as consultants to enhance the final design. Finally, </w:t>
      </w:r>
      <w:r w:rsidR="002A70E5">
        <w:rPr>
          <w:bCs/>
          <w:color w:val="374151"/>
          <w:sz w:val="20"/>
          <w:szCs w:val="20"/>
        </w:rPr>
        <w:t>d</w:t>
      </w:r>
      <w:r w:rsidRPr="009D3D6E">
        <w:rPr>
          <w:bCs/>
          <w:color w:val="374151"/>
          <w:sz w:val="20"/>
          <w:szCs w:val="20"/>
        </w:rPr>
        <w:t>esign students can focus on prototyping and rendering the final design proposals.</w:t>
      </w:r>
    </w:p>
    <w:p w14:paraId="46EF542C" w14:textId="1BA5D182" w:rsidR="00A94A51" w:rsidRDefault="00E9590B" w:rsidP="009D3D6E">
      <w:pPr>
        <w:pStyle w:val="NormalWeb"/>
        <w:spacing w:before="300" w:beforeAutospacing="0" w:after="0" w:afterAutospacing="0"/>
        <w:ind w:firstLine="284"/>
        <w:contextualSpacing/>
        <w:rPr>
          <w:bCs/>
          <w:color w:val="374151"/>
          <w:sz w:val="20"/>
          <w:szCs w:val="20"/>
        </w:rPr>
      </w:pPr>
      <w:r w:rsidRPr="009D3D6E">
        <w:rPr>
          <w:bCs/>
          <w:color w:val="374151"/>
          <w:sz w:val="20"/>
          <w:szCs w:val="20"/>
        </w:rPr>
        <w:t>By implementing these adjustments and fostering collaborative exchanges at appropriate stages, we aim to enhance the overall effectiveness and integration of Design and Engineering students in the design process</w:t>
      </w:r>
      <w:r w:rsidR="00352BA5">
        <w:rPr>
          <w:bCs/>
          <w:color w:val="374151"/>
          <w:sz w:val="20"/>
          <w:szCs w:val="20"/>
        </w:rPr>
        <w:t>.</w:t>
      </w:r>
    </w:p>
    <w:p w14:paraId="3FB4C70D" w14:textId="27F537E6" w:rsidR="002A70E5" w:rsidRDefault="001068DB" w:rsidP="007B7F1B">
      <w:pPr>
        <w:pStyle w:val="PlainText"/>
        <w:jc w:val="both"/>
        <w:rPr>
          <w:rFonts w:ascii="Times New Roman" w:hAnsi="Times New Roman"/>
          <w:b/>
          <w:lang w:val="en-GB"/>
        </w:rPr>
      </w:pPr>
      <w:r w:rsidRPr="001068DB">
        <w:rPr>
          <w:noProof/>
        </w:rPr>
        <w:t xml:space="preserve"> </w:t>
      </w:r>
      <w:r w:rsidRPr="001068DB">
        <w:rPr>
          <w:rFonts w:ascii="Times New Roman" w:hAnsi="Times New Roman"/>
          <w:b/>
          <w:noProof/>
          <w:lang w:val="en-GB"/>
        </w:rPr>
        <w:drawing>
          <wp:inline distT="0" distB="0" distL="0" distR="0" wp14:anchorId="1CE0CF7A" wp14:editId="0A2F01ED">
            <wp:extent cx="2879725" cy="3146425"/>
            <wp:effectExtent l="0" t="0" r="0" b="0"/>
            <wp:docPr id="1" name="Picture 1" descr="A picture containing text, screenshot, parallel,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 parallel, diagram&#10;&#10;Description automatically generated"/>
                    <pic:cNvPicPr/>
                  </pic:nvPicPr>
                  <pic:blipFill>
                    <a:blip r:embed="rId17"/>
                    <a:stretch>
                      <a:fillRect/>
                    </a:stretch>
                  </pic:blipFill>
                  <pic:spPr>
                    <a:xfrm>
                      <a:off x="0" y="0"/>
                      <a:ext cx="2879725" cy="3146425"/>
                    </a:xfrm>
                    <a:prstGeom prst="rect">
                      <a:avLst/>
                    </a:prstGeom>
                  </pic:spPr>
                </pic:pic>
              </a:graphicData>
            </a:graphic>
          </wp:inline>
        </w:drawing>
      </w:r>
    </w:p>
    <w:p w14:paraId="1FA228BB" w14:textId="77777777" w:rsidR="00934ED8" w:rsidRDefault="00934ED8" w:rsidP="007B7F1B">
      <w:pPr>
        <w:pStyle w:val="PlainText"/>
        <w:jc w:val="both"/>
        <w:rPr>
          <w:rFonts w:ascii="Times New Roman" w:hAnsi="Times New Roman"/>
          <w:b/>
          <w:lang w:val="en-GB"/>
        </w:rPr>
      </w:pPr>
    </w:p>
    <w:p w14:paraId="5CA082F4" w14:textId="77777777" w:rsidR="00637072" w:rsidRDefault="00637072" w:rsidP="00637072">
      <w:pPr>
        <w:pStyle w:val="PlainText"/>
        <w:jc w:val="both"/>
        <w:outlineLvl w:val="0"/>
        <w:rPr>
          <w:rFonts w:ascii="Times New Roman" w:hAnsi="Times New Roman"/>
          <w:b/>
          <w:lang w:val="en-GB"/>
        </w:rPr>
      </w:pPr>
      <w:r w:rsidRPr="003E0719">
        <w:rPr>
          <w:rFonts w:ascii="Times New Roman" w:hAnsi="Times New Roman"/>
          <w:b/>
          <w:lang w:val="en-GB"/>
        </w:rPr>
        <w:t>Conclusions</w:t>
      </w:r>
    </w:p>
    <w:p w14:paraId="2C6292A5" w14:textId="77777777" w:rsidR="00637072" w:rsidRPr="00146CBE" w:rsidRDefault="00637072" w:rsidP="00146CBE">
      <w:pPr>
        <w:pStyle w:val="PlainText"/>
        <w:ind w:firstLine="284"/>
        <w:jc w:val="both"/>
        <w:outlineLvl w:val="0"/>
        <w:rPr>
          <w:rFonts w:ascii="Times New Roman" w:eastAsia="Times New Roman" w:hAnsi="Times New Roman"/>
          <w:color w:val="374151"/>
          <w:szCs w:val="20"/>
          <w:lang w:eastAsia="en-SG"/>
        </w:rPr>
      </w:pPr>
    </w:p>
    <w:p w14:paraId="114CAA7B" w14:textId="3B332A51" w:rsidR="00D867A7" w:rsidRDefault="00D30443" w:rsidP="00146CBE">
      <w:pPr>
        <w:pStyle w:val="PlainText"/>
        <w:ind w:firstLine="284"/>
        <w:jc w:val="both"/>
        <w:outlineLvl w:val="0"/>
        <w:rPr>
          <w:rStyle w:val="ui-provider"/>
          <w:rFonts w:ascii="Times New Roman" w:hAnsi="Times New Roman"/>
        </w:rPr>
      </w:pPr>
      <w:r w:rsidRPr="00146CBE">
        <w:rPr>
          <w:rFonts w:ascii="Times New Roman" w:eastAsia="Times New Roman" w:hAnsi="Times New Roman"/>
          <w:color w:val="374151"/>
          <w:szCs w:val="20"/>
          <w:lang w:eastAsia="en-SG"/>
        </w:rPr>
        <w:t xml:space="preserve">In summary, the interdisciplinary collaboration between IAD and ABS students in the IDL project has shown both positive outcomes and challenges. The surveys indicate the benefits of embracing diverse perspectives and the skills gained by ABS students in visualization, presentation, and critical analysis. The interviews reveal the positive impact of ABS students' feedback on IAD students' design leadership and idea development, despite challenges such as partner commitment and misalignment in design approaches. </w:t>
      </w:r>
      <w:r w:rsidRPr="00D867A7">
        <w:rPr>
          <w:rFonts w:ascii="Times New Roman" w:eastAsia="Times New Roman" w:hAnsi="Times New Roman"/>
          <w:color w:val="374151"/>
          <w:szCs w:val="20"/>
          <w:lang w:eastAsia="en-SG"/>
        </w:rPr>
        <w:t>The analysis of ABS students' work highlights improvements in integrated understanding and design skills, with collaborative software aiding real-time collaboration</w:t>
      </w:r>
      <w:r w:rsidR="00D867A7" w:rsidRPr="00D867A7">
        <w:rPr>
          <w:rFonts w:ascii="Times New Roman" w:eastAsia="Times New Roman" w:hAnsi="Times New Roman"/>
          <w:color w:val="374151"/>
          <w:szCs w:val="20"/>
          <w:lang w:eastAsia="en-SG"/>
        </w:rPr>
        <w:t xml:space="preserve"> </w:t>
      </w:r>
      <w:r w:rsidR="00426EB7" w:rsidRPr="005A5DB9">
        <w:rPr>
          <w:rFonts w:ascii="Times New Roman" w:eastAsia="Times New Roman" w:hAnsi="Times New Roman"/>
          <w:color w:val="374151"/>
          <w:szCs w:val="20"/>
          <w:lang w:eastAsia="en-SG"/>
        </w:rPr>
        <w:t>(</w:t>
      </w:r>
      <w:r w:rsidR="008A171E" w:rsidRPr="000A25DD">
        <w:rPr>
          <w:rFonts w:eastAsia="Times New Roman"/>
          <w:color w:val="374151"/>
          <w:lang w:eastAsia="en-SG"/>
        </w:rPr>
        <w:t>Van den Beemt</w:t>
      </w:r>
      <w:r w:rsidR="00426EB7" w:rsidRPr="000A25DD">
        <w:rPr>
          <w:rFonts w:eastAsia="Times New Roman"/>
          <w:color w:val="374151"/>
          <w:lang w:eastAsia="en-SG"/>
        </w:rPr>
        <w:t xml:space="preserve"> et al, </w:t>
      </w:r>
      <w:r w:rsidR="008A171E" w:rsidRPr="000A25DD">
        <w:rPr>
          <w:rFonts w:eastAsia="Times New Roman"/>
          <w:color w:val="374151"/>
          <w:lang w:eastAsia="en-SG"/>
        </w:rPr>
        <w:t xml:space="preserve">2020). </w:t>
      </w:r>
    </w:p>
    <w:p w14:paraId="38C0A02D" w14:textId="34EB2C16" w:rsidR="00D30443" w:rsidRPr="00146CBE" w:rsidRDefault="00B40F4F" w:rsidP="00146CBE">
      <w:pPr>
        <w:pStyle w:val="PlainText"/>
        <w:ind w:firstLine="284"/>
        <w:jc w:val="both"/>
        <w:outlineLvl w:val="0"/>
        <w:rPr>
          <w:rFonts w:ascii="Times New Roman" w:eastAsia="Times New Roman" w:hAnsi="Times New Roman"/>
          <w:color w:val="374151"/>
          <w:szCs w:val="20"/>
          <w:lang w:eastAsia="en-SG"/>
        </w:rPr>
      </w:pPr>
      <w:r w:rsidRPr="00B40F4F">
        <w:rPr>
          <w:rFonts w:ascii="Times New Roman" w:eastAsia="Times New Roman" w:hAnsi="Times New Roman"/>
          <w:color w:val="374151"/>
          <w:szCs w:val="20"/>
          <w:lang w:eastAsia="en-SG"/>
        </w:rPr>
        <w:t>Overall, students acknowledged the importance of interdisciplinary learning in adequately preparing them for the future job market, given its potential to cultivate the requisite adaptability and collaborative disposition. Such an educational approach holds the promise of nurturing versatile professionals capable of thriving in dynamic work environments characterized by complex problem-solving and effective teamwork.</w:t>
      </w:r>
    </w:p>
    <w:p w14:paraId="17E3FD3C" w14:textId="580DD74F" w:rsidR="002A70E5" w:rsidRPr="00146CBE" w:rsidRDefault="00C84165" w:rsidP="00206A58">
      <w:pPr>
        <w:pStyle w:val="PlainText"/>
        <w:ind w:firstLine="284"/>
        <w:jc w:val="both"/>
        <w:outlineLvl w:val="0"/>
        <w:rPr>
          <w:rFonts w:ascii="Times New Roman" w:eastAsia="Times New Roman" w:hAnsi="Times New Roman"/>
          <w:color w:val="374151"/>
          <w:szCs w:val="20"/>
          <w:lang w:eastAsia="en-SG"/>
        </w:rPr>
      </w:pPr>
      <w:r w:rsidRPr="00590067">
        <w:rPr>
          <w:rFonts w:ascii="Times New Roman" w:eastAsia="Times New Roman" w:hAnsi="Times New Roman"/>
          <w:color w:val="374151"/>
          <w:szCs w:val="20"/>
          <w:lang w:eastAsia="en-SG"/>
        </w:rPr>
        <w:t xml:space="preserve">We acknowledge that within the industry, the seamless integration of expertise between designers and engineers is highly recommended. However, in the context of polytechnic academics, where students are in the process of acquiring fundamental skills and exploring their future professional roles, instructors should facilitate a closer guidance </w:t>
      </w:r>
      <w:r>
        <w:rPr>
          <w:rFonts w:ascii="Times New Roman" w:eastAsia="Times New Roman" w:hAnsi="Times New Roman"/>
          <w:color w:val="374151"/>
          <w:szCs w:val="20"/>
          <w:lang w:eastAsia="en-SG"/>
        </w:rPr>
        <w:t xml:space="preserve">in the process of </w:t>
      </w:r>
      <w:r w:rsidRPr="00590067">
        <w:rPr>
          <w:rFonts w:ascii="Times New Roman" w:eastAsia="Times New Roman" w:hAnsi="Times New Roman"/>
          <w:color w:val="374151"/>
          <w:szCs w:val="20"/>
          <w:lang w:eastAsia="en-SG"/>
        </w:rPr>
        <w:t xml:space="preserve"> exchange of information. </w:t>
      </w:r>
      <w:r w:rsidR="00D30443" w:rsidRPr="00146CBE">
        <w:rPr>
          <w:rFonts w:ascii="Times New Roman" w:eastAsia="Times New Roman" w:hAnsi="Times New Roman"/>
          <w:color w:val="374151"/>
          <w:szCs w:val="20"/>
          <w:lang w:eastAsia="en-SG"/>
        </w:rPr>
        <w:t xml:space="preserve">To enhance the IDL experience, it is recommended to adjust the timing of sharing key data, allowing students sufficient time to acquire and distill information before sharing it coherently. The proposed approach suggests </w:t>
      </w:r>
      <w:r w:rsidR="002A70E5">
        <w:rPr>
          <w:rFonts w:ascii="Times New Roman" w:eastAsia="Times New Roman" w:hAnsi="Times New Roman"/>
          <w:color w:val="374151"/>
          <w:szCs w:val="20"/>
          <w:lang w:eastAsia="en-SG"/>
        </w:rPr>
        <w:t>d</w:t>
      </w:r>
      <w:r w:rsidR="00D30443" w:rsidRPr="00146CBE">
        <w:rPr>
          <w:rFonts w:ascii="Times New Roman" w:eastAsia="Times New Roman" w:hAnsi="Times New Roman"/>
          <w:color w:val="374151"/>
          <w:szCs w:val="20"/>
          <w:lang w:eastAsia="en-SG"/>
        </w:rPr>
        <w:t xml:space="preserve">esign students starting with a holistic understanding while </w:t>
      </w:r>
      <w:r w:rsidR="002A70E5">
        <w:rPr>
          <w:rFonts w:ascii="Times New Roman" w:eastAsia="Times New Roman" w:hAnsi="Times New Roman"/>
          <w:color w:val="374151"/>
          <w:szCs w:val="20"/>
          <w:lang w:eastAsia="en-SG"/>
        </w:rPr>
        <w:t>e</w:t>
      </w:r>
      <w:r w:rsidR="00D30443" w:rsidRPr="00146CBE">
        <w:rPr>
          <w:rFonts w:ascii="Times New Roman" w:eastAsia="Times New Roman" w:hAnsi="Times New Roman"/>
          <w:color w:val="374151"/>
          <w:szCs w:val="20"/>
          <w:lang w:eastAsia="en-SG"/>
        </w:rPr>
        <w:t>ngineering students adopt a data-oriented perspective, exchanging findings during</w:t>
      </w:r>
      <w:r w:rsidR="00B40F4F">
        <w:rPr>
          <w:rFonts w:ascii="Times New Roman" w:eastAsia="Times New Roman" w:hAnsi="Times New Roman"/>
          <w:color w:val="374151"/>
          <w:szCs w:val="20"/>
          <w:lang w:eastAsia="en-SG"/>
        </w:rPr>
        <w:t xml:space="preserve"> </w:t>
      </w:r>
      <w:r w:rsidR="00B40F4F">
        <w:rPr>
          <w:rFonts w:ascii="Times New Roman" w:eastAsia="Times New Roman" w:hAnsi="Times New Roman"/>
          <w:color w:val="374151"/>
          <w:szCs w:val="20"/>
          <w:lang w:eastAsia="en-SG"/>
        </w:rPr>
        <w:lastRenderedPageBreak/>
        <w:t xml:space="preserve">spessific </w:t>
      </w:r>
      <w:r w:rsidR="00E12E32">
        <w:rPr>
          <w:rFonts w:ascii="Times New Roman" w:eastAsia="Times New Roman" w:hAnsi="Times New Roman"/>
          <w:color w:val="374151"/>
          <w:szCs w:val="20"/>
          <w:lang w:eastAsia="en-SG"/>
        </w:rPr>
        <w:t>stages of the design process.</w:t>
      </w:r>
      <w:r w:rsidR="00D30443" w:rsidRPr="00146CBE">
        <w:rPr>
          <w:rFonts w:ascii="Times New Roman" w:eastAsia="Times New Roman" w:hAnsi="Times New Roman"/>
          <w:color w:val="374151"/>
          <w:szCs w:val="20"/>
          <w:lang w:eastAsia="en-SG"/>
        </w:rPr>
        <w:t>By implementing these recommendations, future IDL projects can foster effective communication, engagement, and shared understanding between IAD and ABS students, leading to enhanced outcomes and a more enriching educational experience</w:t>
      </w:r>
      <w:r w:rsidR="002A70E5" w:rsidRPr="0088009D">
        <w:rPr>
          <w:rFonts w:ascii="Times New Roman" w:eastAsia="Times New Roman" w:hAnsi="Times New Roman"/>
          <w:color w:val="374151"/>
          <w:szCs w:val="20"/>
          <w:lang w:eastAsia="en-SG"/>
        </w:rPr>
        <w:t>This collaborative approach can be replicated for integrative learning across other disciplines of study as well. By engaging with industry partners, this approach facilitates the development of skills that are highly sought after by the industry, thus preparing students to be industry-ready.</w:t>
      </w:r>
    </w:p>
    <w:p w14:paraId="4D3E35C2" w14:textId="77777777" w:rsidR="00146CBE" w:rsidRDefault="00146CBE" w:rsidP="007B7F1B">
      <w:pPr>
        <w:pStyle w:val="PlainText"/>
        <w:contextualSpacing/>
        <w:jc w:val="both"/>
        <w:rPr>
          <w:rFonts w:ascii="Times New Roman" w:hAnsi="Times New Roman"/>
          <w:b/>
          <w:lang w:val="en-GB"/>
        </w:rPr>
      </w:pPr>
    </w:p>
    <w:p w14:paraId="00E41292" w14:textId="558E401B" w:rsidR="007B7F1B" w:rsidRPr="003E0719" w:rsidRDefault="007B7F1B" w:rsidP="007B7F1B">
      <w:pPr>
        <w:pStyle w:val="PlainText"/>
        <w:contextualSpacing/>
        <w:jc w:val="both"/>
        <w:rPr>
          <w:rFonts w:ascii="Times New Roman" w:hAnsi="Times New Roman"/>
          <w:b/>
          <w:lang w:val="en-GB"/>
        </w:rPr>
      </w:pPr>
      <w:r w:rsidRPr="003E0719">
        <w:rPr>
          <w:rFonts w:ascii="Times New Roman" w:hAnsi="Times New Roman"/>
          <w:b/>
          <w:lang w:val="en-GB"/>
        </w:rPr>
        <w:t>References</w:t>
      </w:r>
    </w:p>
    <w:p w14:paraId="66CB2418" w14:textId="522DE5CE" w:rsidR="00A0588C" w:rsidRPr="00F71335" w:rsidRDefault="00A0588C" w:rsidP="00A0588C">
      <w:pPr>
        <w:pStyle w:val="PlainText"/>
        <w:contextualSpacing/>
        <w:jc w:val="both"/>
        <w:rPr>
          <w:rFonts w:ascii="Times New Roman" w:hAnsi="Times New Roman"/>
          <w:color w:val="0000FF"/>
          <w:lang w:val="en-GB" w:eastAsia="ja-JP"/>
        </w:rPr>
      </w:pPr>
    </w:p>
    <w:p w14:paraId="2DD6C9E4" w14:textId="77777777" w:rsidR="00566CD7" w:rsidRDefault="00566CD7" w:rsidP="00566CD7">
      <w:pPr>
        <w:pStyle w:val="PlainText"/>
        <w:rPr>
          <w:rFonts w:ascii="Times New Roman" w:hAnsi="Times New Roman"/>
          <w:szCs w:val="20"/>
          <w:lang w:val="en-US"/>
        </w:rPr>
      </w:pPr>
      <w:r w:rsidRPr="00593DE2">
        <w:rPr>
          <w:rFonts w:ascii="Times New Roman" w:hAnsi="Times New Roman"/>
          <w:szCs w:val="20"/>
          <w:lang w:val="en-US"/>
        </w:rPr>
        <w:t>Ackermann, R. (2023). A postmortem on design</w:t>
      </w:r>
      <w:r>
        <w:rPr>
          <w:rFonts w:ascii="Times New Roman" w:hAnsi="Times New Roman"/>
          <w:szCs w:val="20"/>
          <w:lang w:val="en-US"/>
        </w:rPr>
        <w:t xml:space="preserve"> </w:t>
      </w:r>
      <w:r w:rsidRPr="00593DE2">
        <w:rPr>
          <w:rFonts w:ascii="Times New Roman" w:hAnsi="Times New Roman"/>
          <w:szCs w:val="20"/>
          <w:lang w:val="en-US"/>
        </w:rPr>
        <w:t xml:space="preserve">thinking. </w:t>
      </w:r>
      <w:r w:rsidRPr="00593DE2">
        <w:rPr>
          <w:rFonts w:ascii="Times New Roman" w:hAnsi="Times New Roman"/>
          <w:i/>
          <w:iCs/>
          <w:szCs w:val="20"/>
          <w:lang w:val="en-US"/>
        </w:rPr>
        <w:t>MIT Technology Review</w:t>
      </w:r>
      <w:r w:rsidRPr="00593DE2">
        <w:rPr>
          <w:rFonts w:ascii="Times New Roman" w:hAnsi="Times New Roman"/>
          <w:szCs w:val="20"/>
          <w:lang w:val="en-US"/>
        </w:rPr>
        <w:t>,</w:t>
      </w:r>
      <w:r>
        <w:rPr>
          <w:rFonts w:ascii="Times New Roman" w:hAnsi="Times New Roman"/>
          <w:szCs w:val="20"/>
          <w:lang w:val="en-US"/>
        </w:rPr>
        <w:t xml:space="preserve"> </w:t>
      </w:r>
      <w:r w:rsidRPr="00593DE2">
        <w:rPr>
          <w:rFonts w:ascii="Times New Roman" w:hAnsi="Times New Roman"/>
          <w:i/>
          <w:iCs/>
          <w:szCs w:val="20"/>
          <w:lang w:val="en-US"/>
        </w:rPr>
        <w:t>126</w:t>
      </w:r>
      <w:r w:rsidRPr="00593DE2">
        <w:rPr>
          <w:rFonts w:ascii="Times New Roman" w:hAnsi="Times New Roman"/>
          <w:szCs w:val="20"/>
          <w:lang w:val="en-US"/>
        </w:rPr>
        <w:t>(2), 28–35</w:t>
      </w:r>
      <w:r>
        <w:rPr>
          <w:rFonts w:ascii="Times New Roman" w:hAnsi="Times New Roman"/>
          <w:szCs w:val="20"/>
          <w:lang w:val="en-US"/>
        </w:rPr>
        <w:t xml:space="preserve"> </w:t>
      </w:r>
    </w:p>
    <w:p w14:paraId="240BECAC" w14:textId="77777777" w:rsidR="00566CD7" w:rsidRDefault="00566CD7" w:rsidP="00566CD7">
      <w:pPr>
        <w:pStyle w:val="PlainText"/>
        <w:rPr>
          <w:rFonts w:ascii="Times New Roman" w:hAnsi="Times New Roman"/>
          <w:szCs w:val="20"/>
          <w:lang w:val="en-US"/>
        </w:rPr>
      </w:pPr>
    </w:p>
    <w:p w14:paraId="788348D7" w14:textId="77777777" w:rsidR="00566CD7" w:rsidRDefault="00566CD7" w:rsidP="00566CD7">
      <w:pPr>
        <w:pStyle w:val="PlainText"/>
        <w:rPr>
          <w:rFonts w:ascii="Times New Roman" w:hAnsi="Times New Roman"/>
          <w:szCs w:val="20"/>
          <w:lang w:val="en-US"/>
        </w:rPr>
      </w:pPr>
      <w:r w:rsidRPr="00366248">
        <w:rPr>
          <w:rFonts w:ascii="Times New Roman" w:hAnsi="Times New Roman"/>
          <w:szCs w:val="20"/>
          <w:lang w:val="en-US"/>
        </w:rPr>
        <w:t xml:space="preserve">Bear, A. &amp; </w:t>
      </w:r>
      <w:proofErr w:type="spellStart"/>
      <w:r w:rsidRPr="00366248">
        <w:rPr>
          <w:rFonts w:ascii="Times New Roman" w:hAnsi="Times New Roman"/>
          <w:szCs w:val="20"/>
          <w:lang w:val="en-US"/>
        </w:rPr>
        <w:t>Skorton</w:t>
      </w:r>
      <w:proofErr w:type="spellEnd"/>
      <w:r w:rsidRPr="00366248">
        <w:rPr>
          <w:rFonts w:ascii="Times New Roman" w:hAnsi="Times New Roman"/>
          <w:szCs w:val="20"/>
          <w:lang w:val="en-US"/>
        </w:rPr>
        <w:t>, D. (2019). The world</w:t>
      </w:r>
      <w:r w:rsidRPr="0002428E">
        <w:rPr>
          <w:rFonts w:ascii="Times New Roman" w:hAnsi="Times New Roman"/>
          <w:szCs w:val="20"/>
          <w:lang w:val="en-US"/>
        </w:rPr>
        <w:t xml:space="preserve"> </w:t>
      </w:r>
      <w:r w:rsidRPr="00366248">
        <w:rPr>
          <w:rFonts w:ascii="Times New Roman" w:hAnsi="Times New Roman"/>
          <w:szCs w:val="20"/>
          <w:lang w:val="en-US"/>
        </w:rPr>
        <w:t>needs</w:t>
      </w:r>
      <w:r w:rsidRPr="00366248">
        <w:rPr>
          <w:rFonts w:ascii="Times New Roman" w:hAnsi="Times New Roman"/>
          <w:szCs w:val="20"/>
        </w:rPr>
        <w:t xml:space="preserve"> </w:t>
      </w:r>
      <w:r w:rsidRPr="00366248">
        <w:rPr>
          <w:rFonts w:ascii="Times New Roman" w:hAnsi="Times New Roman"/>
          <w:szCs w:val="20"/>
          <w:lang w:val="en-US"/>
        </w:rPr>
        <w:t xml:space="preserve">students with interdisciplinary education. </w:t>
      </w:r>
      <w:r w:rsidRPr="00366248">
        <w:rPr>
          <w:rFonts w:ascii="Times New Roman" w:hAnsi="Times New Roman"/>
          <w:i/>
          <w:iCs/>
          <w:szCs w:val="20"/>
          <w:lang w:val="en-US"/>
        </w:rPr>
        <w:t>Issues</w:t>
      </w:r>
      <w:r w:rsidRPr="00DC3FEB">
        <w:rPr>
          <w:rFonts w:ascii="Times New Roman" w:hAnsi="Times New Roman"/>
          <w:i/>
          <w:iCs/>
          <w:szCs w:val="20"/>
        </w:rPr>
        <w:t xml:space="preserve"> </w:t>
      </w:r>
      <w:r>
        <w:rPr>
          <w:rFonts w:ascii="Times New Roman" w:hAnsi="Times New Roman"/>
          <w:i/>
          <w:iCs/>
          <w:szCs w:val="20"/>
        </w:rPr>
        <w:t xml:space="preserve">in </w:t>
      </w:r>
      <w:r w:rsidRPr="00366248">
        <w:rPr>
          <w:rFonts w:ascii="Times New Roman" w:hAnsi="Times New Roman"/>
          <w:i/>
          <w:iCs/>
          <w:szCs w:val="20"/>
          <w:lang w:val="en-US"/>
        </w:rPr>
        <w:t>Science and Technology</w:t>
      </w:r>
      <w:r w:rsidRPr="00366248">
        <w:rPr>
          <w:rFonts w:ascii="Times New Roman" w:hAnsi="Times New Roman"/>
          <w:szCs w:val="20"/>
          <w:lang w:val="en-US"/>
        </w:rPr>
        <w:t xml:space="preserve">, </w:t>
      </w:r>
      <w:r w:rsidRPr="00366248">
        <w:rPr>
          <w:rFonts w:ascii="Times New Roman" w:hAnsi="Times New Roman"/>
          <w:i/>
          <w:iCs/>
          <w:szCs w:val="20"/>
          <w:lang w:val="en-US"/>
        </w:rPr>
        <w:t>35</w:t>
      </w:r>
      <w:r w:rsidRPr="00366248">
        <w:rPr>
          <w:rFonts w:ascii="Times New Roman" w:hAnsi="Times New Roman"/>
          <w:szCs w:val="20"/>
          <w:lang w:val="en-US"/>
        </w:rPr>
        <w:t>(2), 60-62.</w:t>
      </w:r>
    </w:p>
    <w:p w14:paraId="5F8E4F73" w14:textId="77777777" w:rsidR="00566CD7" w:rsidRDefault="00566CD7" w:rsidP="00566CD7">
      <w:pPr>
        <w:pStyle w:val="PlainText"/>
        <w:rPr>
          <w:rFonts w:ascii="Times New Roman" w:hAnsi="Times New Roman"/>
          <w:color w:val="0000FF"/>
          <w:lang w:val="en-GB" w:eastAsia="ja-JP"/>
        </w:rPr>
      </w:pPr>
    </w:p>
    <w:p w14:paraId="718AC59E" w14:textId="77777777" w:rsidR="00566CD7" w:rsidRDefault="00566CD7" w:rsidP="00566CD7">
      <w:pPr>
        <w:rPr>
          <w:rFonts w:eastAsia="Times New Roman"/>
          <w:color w:val="232323"/>
          <w:sz w:val="20"/>
          <w:szCs w:val="20"/>
          <w:lang w:val="en-SG" w:eastAsia="en-SG"/>
        </w:rPr>
      </w:pPr>
      <w:r w:rsidRPr="00366248">
        <w:rPr>
          <w:rFonts w:eastAsia="Times New Roman"/>
          <w:color w:val="232323"/>
          <w:sz w:val="20"/>
          <w:szCs w:val="20"/>
          <w:lang w:val="en-SG" w:eastAsia="en-SG"/>
        </w:rPr>
        <w:t xml:space="preserve">Brown, T. (2008). </w:t>
      </w:r>
      <w:r w:rsidRPr="00366248">
        <w:rPr>
          <w:rFonts w:eastAsia="Times New Roman"/>
          <w:i/>
          <w:iCs/>
          <w:color w:val="232323"/>
          <w:sz w:val="20"/>
          <w:szCs w:val="20"/>
          <w:lang w:val="en-SG" w:eastAsia="en-SG"/>
        </w:rPr>
        <w:t>Design Thinking</w:t>
      </w:r>
      <w:r w:rsidRPr="00366248">
        <w:rPr>
          <w:rFonts w:eastAsia="Times New Roman"/>
          <w:color w:val="232323"/>
          <w:sz w:val="20"/>
          <w:szCs w:val="20"/>
          <w:lang w:val="en-SG" w:eastAsia="en-SG"/>
        </w:rPr>
        <w:t>. Harvard Business Review</w:t>
      </w:r>
      <w:r>
        <w:rPr>
          <w:rFonts w:eastAsia="Times New Roman"/>
          <w:color w:val="232323"/>
          <w:sz w:val="20"/>
          <w:szCs w:val="20"/>
          <w:lang w:val="en-SG" w:eastAsia="en-SG"/>
        </w:rPr>
        <w:t>.</w:t>
      </w:r>
      <w:r w:rsidRPr="00ED673E">
        <w:rPr>
          <w:rFonts w:eastAsia="Times New Roman"/>
          <w:color w:val="232323"/>
          <w:sz w:val="20"/>
          <w:szCs w:val="20"/>
          <w:lang w:val="en-SG" w:eastAsia="en-SG"/>
        </w:rPr>
        <w:t xml:space="preserve"> </w:t>
      </w:r>
      <w:r w:rsidRPr="00366248">
        <w:rPr>
          <w:rFonts w:eastAsia="Times New Roman"/>
          <w:color w:val="232323"/>
          <w:sz w:val="20"/>
          <w:szCs w:val="20"/>
          <w:lang w:val="en-SG" w:eastAsia="en-SG"/>
        </w:rPr>
        <w:br/>
      </w:r>
      <w:hyperlink r:id="rId18" w:history="1">
        <w:r w:rsidRPr="00366248">
          <w:rPr>
            <w:rStyle w:val="Hyperlink"/>
            <w:sz w:val="20"/>
            <w:szCs w:val="20"/>
          </w:rPr>
          <w:t>https://www.researchgate.net/publication/5248069_Design_Thinking</w:t>
        </w:r>
      </w:hyperlink>
    </w:p>
    <w:p w14:paraId="73CC2C3E" w14:textId="77777777" w:rsidR="00566CD7" w:rsidRDefault="00566CD7" w:rsidP="00566CD7">
      <w:pPr>
        <w:pStyle w:val="PlainText"/>
        <w:rPr>
          <w:rFonts w:ascii="Times New Roman" w:hAnsi="Times New Roman"/>
          <w:color w:val="0000FF"/>
          <w:lang w:val="en-GB" w:eastAsia="ja-JP"/>
        </w:rPr>
      </w:pPr>
    </w:p>
    <w:p w14:paraId="69C1938A" w14:textId="77777777" w:rsidR="00C45E27" w:rsidRDefault="00566CD7" w:rsidP="00566CD7">
      <w:pPr>
        <w:rPr>
          <w:rFonts w:eastAsia="Times New Roman"/>
          <w:color w:val="232323"/>
          <w:sz w:val="20"/>
          <w:szCs w:val="20"/>
          <w:lang w:val="en-SG" w:eastAsia="en-SG"/>
        </w:rPr>
      </w:pPr>
      <w:r w:rsidRPr="00A023DD">
        <w:rPr>
          <w:rFonts w:eastAsia="Times New Roman"/>
          <w:color w:val="232323"/>
          <w:sz w:val="20"/>
          <w:szCs w:val="20"/>
          <w:lang w:val="en-SG" w:eastAsia="en-SG"/>
        </w:rPr>
        <w:t xml:space="preserve">Brown, T., Katz, B., 2011. </w:t>
      </w:r>
      <w:r w:rsidRPr="00366248">
        <w:rPr>
          <w:rFonts w:eastAsia="Times New Roman"/>
          <w:i/>
          <w:iCs/>
          <w:color w:val="232323"/>
          <w:sz w:val="20"/>
          <w:szCs w:val="20"/>
          <w:lang w:val="en-SG" w:eastAsia="en-SG"/>
        </w:rPr>
        <w:t>Change by</w:t>
      </w:r>
      <w:r w:rsidRPr="00A023DD">
        <w:rPr>
          <w:rFonts w:eastAsia="Times New Roman"/>
          <w:color w:val="232323"/>
          <w:sz w:val="20"/>
          <w:szCs w:val="20"/>
          <w:lang w:val="en-SG" w:eastAsia="en-SG"/>
        </w:rPr>
        <w:t xml:space="preserve"> design. J. Prod.</w:t>
      </w:r>
    </w:p>
    <w:p w14:paraId="15BE9524" w14:textId="77777777" w:rsidR="00C45E27" w:rsidRDefault="00C45E27" w:rsidP="00566CD7">
      <w:pPr>
        <w:rPr>
          <w:rFonts w:eastAsia="Times New Roman"/>
          <w:color w:val="232323"/>
          <w:sz w:val="20"/>
          <w:szCs w:val="20"/>
          <w:lang w:val="en-SG" w:eastAsia="en-SG"/>
        </w:rPr>
      </w:pPr>
    </w:p>
    <w:p w14:paraId="62F2B4B9" w14:textId="77777777" w:rsidR="0014511F" w:rsidRPr="00833585" w:rsidRDefault="0014511F" w:rsidP="0014511F">
      <w:pPr>
        <w:pStyle w:val="PlainText"/>
        <w:rPr>
          <w:rFonts w:ascii="Times New Roman" w:hAnsi="Times New Roman"/>
          <w:szCs w:val="20"/>
          <w:lang w:val="en-US"/>
        </w:rPr>
      </w:pPr>
      <w:r w:rsidRPr="00833585">
        <w:rPr>
          <w:rFonts w:ascii="Times New Roman" w:hAnsi="Times New Roman"/>
          <w:szCs w:val="20"/>
          <w:lang w:val="en-US"/>
        </w:rPr>
        <w:t>Buchanan, R. (2019). Systems Thinking and Design Thinking: The Search for Principles in the World We Are Making. She Ji: The Journal of Design, Economics, and Innovation</w:t>
      </w:r>
      <w:r>
        <w:rPr>
          <w:rFonts w:ascii="Times New Roman" w:hAnsi="Times New Roman"/>
          <w:szCs w:val="20"/>
          <w:lang w:val="en-US"/>
        </w:rPr>
        <w:t>.</w:t>
      </w:r>
    </w:p>
    <w:p w14:paraId="140C123F" w14:textId="77777777" w:rsidR="0014511F" w:rsidRDefault="000A25DD" w:rsidP="0014511F">
      <w:pPr>
        <w:pStyle w:val="PlainText"/>
        <w:rPr>
          <w:rFonts w:ascii="Times New Roman" w:hAnsi="Times New Roman"/>
          <w:szCs w:val="20"/>
          <w:lang w:val="en-US"/>
        </w:rPr>
      </w:pPr>
      <w:hyperlink r:id="rId19" w:history="1">
        <w:r w:rsidR="0014511F" w:rsidRPr="00833585">
          <w:rPr>
            <w:rStyle w:val="Hyperlink"/>
            <w:rFonts w:ascii="Times New Roman" w:hAnsi="Times New Roman"/>
            <w:szCs w:val="20"/>
            <w:lang w:val="en-US"/>
          </w:rPr>
          <w:t>https://doi.org/10.1016/j.sheji.2019.04.001</w:t>
        </w:r>
      </w:hyperlink>
      <w:r w:rsidR="0014511F" w:rsidRPr="00A67639">
        <w:rPr>
          <w:rFonts w:ascii="Times New Roman" w:hAnsi="Times New Roman"/>
          <w:szCs w:val="20"/>
          <w:lang w:val="en-US"/>
        </w:rPr>
        <w:t xml:space="preserve"> </w:t>
      </w:r>
    </w:p>
    <w:p w14:paraId="38E5CCE8" w14:textId="77777777" w:rsidR="0014511F" w:rsidRDefault="0014511F" w:rsidP="00566CD7">
      <w:pPr>
        <w:pStyle w:val="PlainText"/>
        <w:contextualSpacing/>
        <w:jc w:val="both"/>
        <w:rPr>
          <w:rFonts w:ascii="Times New Roman" w:hAnsi="Times New Roman"/>
          <w:color w:val="0000FF"/>
          <w:lang w:val="en-GB" w:eastAsia="ja-JP"/>
        </w:rPr>
      </w:pPr>
    </w:p>
    <w:p w14:paraId="65E4F2FF" w14:textId="77777777" w:rsidR="00F000FB" w:rsidRDefault="00F000FB" w:rsidP="00F000FB">
      <w:pPr>
        <w:pStyle w:val="PlainText"/>
        <w:rPr>
          <w:rFonts w:ascii="Times New Roman" w:hAnsi="Times New Roman"/>
          <w:szCs w:val="20"/>
          <w:lang w:val="en-US"/>
        </w:rPr>
      </w:pPr>
      <w:r w:rsidRPr="00D779D4">
        <w:rPr>
          <w:rFonts w:ascii="Times New Roman" w:hAnsi="Times New Roman"/>
          <w:szCs w:val="20"/>
          <w:lang w:val="en-US"/>
        </w:rPr>
        <w:t xml:space="preserve">Donnelly, S., Dean, S., Zhang, S. P., &amp; </w:t>
      </w:r>
      <w:proofErr w:type="spellStart"/>
      <w:r w:rsidRPr="00D779D4">
        <w:rPr>
          <w:rFonts w:ascii="Times New Roman" w:hAnsi="Times New Roman"/>
          <w:szCs w:val="20"/>
          <w:lang w:val="en-US"/>
        </w:rPr>
        <w:t>Levett</w:t>
      </w:r>
      <w:proofErr w:type="spellEnd"/>
      <w:r w:rsidRPr="00D779D4">
        <w:rPr>
          <w:rFonts w:ascii="Times New Roman" w:hAnsi="Times New Roman"/>
          <w:szCs w:val="20"/>
          <w:lang w:val="en-US"/>
        </w:rPr>
        <w:t xml:space="preserve">-Jones, T. (2019). Measuring the impact of an interdisciplinary learning project on nursing, </w:t>
      </w:r>
      <w:proofErr w:type="gramStart"/>
      <w:r w:rsidRPr="00D779D4">
        <w:rPr>
          <w:rFonts w:ascii="Times New Roman" w:hAnsi="Times New Roman"/>
          <w:szCs w:val="20"/>
          <w:lang w:val="en-US"/>
        </w:rPr>
        <w:t>architecture</w:t>
      </w:r>
      <w:proofErr w:type="gramEnd"/>
      <w:r w:rsidRPr="00D779D4">
        <w:rPr>
          <w:rFonts w:ascii="Times New Roman" w:hAnsi="Times New Roman"/>
          <w:szCs w:val="20"/>
          <w:lang w:val="en-US"/>
        </w:rPr>
        <w:t xml:space="preserve"> and landscape design students’ empathy. </w:t>
      </w:r>
      <w:hyperlink r:id="rId20" w:history="1">
        <w:r w:rsidRPr="00872C2C">
          <w:rPr>
            <w:rStyle w:val="Hyperlink"/>
            <w:rFonts w:ascii="Times New Roman" w:hAnsi="Times New Roman"/>
            <w:szCs w:val="20"/>
            <w:lang w:val="en-US"/>
          </w:rPr>
          <w:t>https://doi.org/10.1371/journal.pone.0215795</w:t>
        </w:r>
      </w:hyperlink>
    </w:p>
    <w:p w14:paraId="14218B2D" w14:textId="77777777" w:rsidR="00F000FB" w:rsidRPr="00F71335" w:rsidRDefault="00F000FB" w:rsidP="00566CD7">
      <w:pPr>
        <w:pStyle w:val="PlainText"/>
        <w:contextualSpacing/>
        <w:jc w:val="both"/>
        <w:rPr>
          <w:rFonts w:ascii="Times New Roman" w:hAnsi="Times New Roman"/>
          <w:color w:val="0000FF"/>
          <w:lang w:val="en-GB" w:eastAsia="ja-JP"/>
        </w:rPr>
      </w:pPr>
    </w:p>
    <w:p w14:paraId="3FEED4CF" w14:textId="77777777" w:rsidR="008805E1" w:rsidRPr="000C1188" w:rsidRDefault="008805E1" w:rsidP="008805E1">
      <w:pPr>
        <w:autoSpaceDE w:val="0"/>
        <w:autoSpaceDN w:val="0"/>
        <w:adjustRightInd w:val="0"/>
        <w:rPr>
          <w:i/>
          <w:iCs/>
          <w:color w:val="000000"/>
          <w:sz w:val="20"/>
          <w:szCs w:val="20"/>
          <w:lang w:val="en-SG" w:eastAsia="zh-CN"/>
        </w:rPr>
      </w:pPr>
      <w:proofErr w:type="spellStart"/>
      <w:r w:rsidRPr="000C1188">
        <w:rPr>
          <w:color w:val="000000"/>
          <w:sz w:val="20"/>
          <w:szCs w:val="20"/>
          <w:lang w:val="en-SG" w:eastAsia="zh-CN"/>
        </w:rPr>
        <w:t>Hmelo</w:t>
      </w:r>
      <w:proofErr w:type="spellEnd"/>
      <w:r w:rsidRPr="000C1188">
        <w:rPr>
          <w:color w:val="000000"/>
          <w:sz w:val="20"/>
          <w:szCs w:val="20"/>
          <w:lang w:val="en-SG" w:eastAsia="zh-CN"/>
        </w:rPr>
        <w:t>-Silver, C. E. (2004). Problem-based learning: What</w:t>
      </w:r>
      <w:r>
        <w:rPr>
          <w:color w:val="000000"/>
          <w:sz w:val="20"/>
          <w:szCs w:val="20"/>
          <w:lang w:val="en-SG" w:eastAsia="zh-CN"/>
        </w:rPr>
        <w:t xml:space="preserve"> </w:t>
      </w:r>
      <w:r w:rsidRPr="000C1188">
        <w:rPr>
          <w:color w:val="000000"/>
          <w:sz w:val="20"/>
          <w:szCs w:val="20"/>
          <w:lang w:val="en-SG" w:eastAsia="zh-CN"/>
        </w:rPr>
        <w:t xml:space="preserve">and how do students learn? </w:t>
      </w:r>
      <w:r w:rsidRPr="000C1188">
        <w:rPr>
          <w:i/>
          <w:iCs/>
          <w:color w:val="000000"/>
          <w:sz w:val="20"/>
          <w:szCs w:val="20"/>
          <w:lang w:val="en-SG" w:eastAsia="zh-CN"/>
        </w:rPr>
        <w:t>Educational Psychology</w:t>
      </w:r>
    </w:p>
    <w:p w14:paraId="4866D6C0" w14:textId="77777777" w:rsidR="008805E1" w:rsidRPr="000C1188" w:rsidRDefault="008805E1" w:rsidP="008805E1">
      <w:pPr>
        <w:autoSpaceDE w:val="0"/>
        <w:autoSpaceDN w:val="0"/>
        <w:adjustRightInd w:val="0"/>
        <w:rPr>
          <w:color w:val="215E9F"/>
          <w:sz w:val="20"/>
          <w:szCs w:val="20"/>
          <w:lang w:val="en-SG" w:eastAsia="zh-CN"/>
        </w:rPr>
      </w:pPr>
      <w:r w:rsidRPr="000C1188">
        <w:rPr>
          <w:i/>
          <w:iCs/>
          <w:color w:val="000000"/>
          <w:sz w:val="20"/>
          <w:szCs w:val="20"/>
          <w:lang w:val="en-SG" w:eastAsia="zh-CN"/>
        </w:rPr>
        <w:t>Review, 16</w:t>
      </w:r>
      <w:r w:rsidRPr="000C1188">
        <w:rPr>
          <w:color w:val="000000"/>
          <w:sz w:val="20"/>
          <w:szCs w:val="20"/>
          <w:lang w:val="en-SG" w:eastAsia="zh-CN"/>
        </w:rPr>
        <w:t xml:space="preserve">(3), 235-266. </w:t>
      </w:r>
      <w:r w:rsidRPr="000C1188">
        <w:rPr>
          <w:color w:val="215E9F"/>
          <w:sz w:val="20"/>
          <w:szCs w:val="20"/>
          <w:lang w:val="en-SG" w:eastAsia="zh-CN"/>
        </w:rPr>
        <w:t>https://doi.org/10.1023/</w:t>
      </w:r>
    </w:p>
    <w:p w14:paraId="2C495D84" w14:textId="77777777" w:rsidR="008805E1" w:rsidRPr="008D434F" w:rsidRDefault="008805E1" w:rsidP="008805E1">
      <w:pPr>
        <w:pStyle w:val="PlainText"/>
        <w:rPr>
          <w:rFonts w:ascii="Times New Roman" w:hAnsi="Times New Roman"/>
          <w:szCs w:val="20"/>
          <w:lang w:val="en-US"/>
        </w:rPr>
      </w:pPr>
      <w:proofErr w:type="gramStart"/>
      <w:r w:rsidRPr="000C1188">
        <w:rPr>
          <w:rFonts w:ascii="Times New Roman" w:hAnsi="Times New Roman"/>
          <w:color w:val="215E9F"/>
          <w:szCs w:val="20"/>
          <w:lang w:val="en-SG" w:eastAsia="zh-CN"/>
        </w:rPr>
        <w:t>B:EDPR</w:t>
      </w:r>
      <w:proofErr w:type="gramEnd"/>
      <w:r w:rsidRPr="000C1188">
        <w:rPr>
          <w:rFonts w:ascii="Times New Roman" w:hAnsi="Times New Roman"/>
          <w:color w:val="215E9F"/>
          <w:szCs w:val="20"/>
          <w:lang w:val="en-SG" w:eastAsia="zh-CN"/>
        </w:rPr>
        <w:t>.0000034022.16470.f3</w:t>
      </w:r>
    </w:p>
    <w:p w14:paraId="12B03323" w14:textId="77777777" w:rsidR="008805E1" w:rsidRDefault="008805E1" w:rsidP="00566CD7">
      <w:pPr>
        <w:pStyle w:val="PlainText"/>
        <w:rPr>
          <w:rFonts w:ascii="Times New Roman" w:hAnsi="Times New Roman"/>
          <w:color w:val="232323"/>
          <w:szCs w:val="20"/>
          <w:shd w:val="clear" w:color="auto" w:fill="FFFFFF"/>
        </w:rPr>
      </w:pPr>
    </w:p>
    <w:p w14:paraId="2F87B6A9" w14:textId="578E8C7B" w:rsidR="00566CD7" w:rsidRDefault="00566CD7" w:rsidP="00566CD7">
      <w:pPr>
        <w:pStyle w:val="PlainText"/>
        <w:rPr>
          <w:rStyle w:val="Hyperlink"/>
          <w:rFonts w:ascii="Times New Roman" w:hAnsi="Times New Roman"/>
          <w:szCs w:val="20"/>
        </w:rPr>
      </w:pPr>
      <w:r w:rsidRPr="00366248">
        <w:rPr>
          <w:rFonts w:ascii="Times New Roman" w:hAnsi="Times New Roman"/>
          <w:color w:val="232323"/>
          <w:szCs w:val="20"/>
          <w:shd w:val="clear" w:color="auto" w:fill="FFFFFF"/>
        </w:rPr>
        <w:t>Kelley, T. R., &amp; Knowles, J. G. (2016). A Conceptual Framework for Integrated STEM Education. International Journal of STEM Education, 3, Article No. 11.</w:t>
      </w:r>
      <w:r w:rsidRPr="00366248">
        <w:rPr>
          <w:rFonts w:ascii="Times New Roman" w:hAnsi="Times New Roman"/>
          <w:color w:val="232323"/>
          <w:szCs w:val="20"/>
        </w:rPr>
        <w:br/>
      </w:r>
      <w:hyperlink r:id="rId21" w:history="1">
        <w:r w:rsidRPr="00366248">
          <w:rPr>
            <w:rStyle w:val="Hyperlink"/>
            <w:rFonts w:ascii="Times New Roman" w:hAnsi="Times New Roman"/>
            <w:szCs w:val="20"/>
          </w:rPr>
          <w:t>https://doi.org/10.1186/s40594-016-0046-z</w:t>
        </w:r>
      </w:hyperlink>
    </w:p>
    <w:p w14:paraId="04772D31" w14:textId="77777777" w:rsidR="00566CD7" w:rsidRDefault="00566CD7" w:rsidP="00566CD7">
      <w:pPr>
        <w:pStyle w:val="PlainText"/>
        <w:rPr>
          <w:rStyle w:val="Hyperlink"/>
          <w:rFonts w:ascii="Times New Roman" w:hAnsi="Times New Roman"/>
          <w:szCs w:val="20"/>
        </w:rPr>
      </w:pPr>
    </w:p>
    <w:p w14:paraId="58B9109C" w14:textId="77777777" w:rsidR="00FD6218" w:rsidRPr="00833585" w:rsidRDefault="00FD6218" w:rsidP="00FD6218">
      <w:pPr>
        <w:pStyle w:val="PlainText"/>
        <w:rPr>
          <w:rFonts w:ascii="Times New Roman" w:hAnsi="Times New Roman"/>
          <w:szCs w:val="20"/>
          <w:lang w:val="en-US"/>
        </w:rPr>
      </w:pPr>
      <w:r w:rsidRPr="00833585">
        <w:rPr>
          <w:rFonts w:ascii="Times New Roman" w:hAnsi="Times New Roman"/>
          <w:szCs w:val="20"/>
          <w:lang w:val="en-US"/>
        </w:rPr>
        <w:t xml:space="preserve">Kolko, J. (2018). The divisiveness of </w:t>
      </w:r>
      <w:r w:rsidRPr="000C1188">
        <w:rPr>
          <w:rFonts w:ascii="Times New Roman" w:hAnsi="Times New Roman"/>
          <w:i/>
          <w:iCs/>
          <w:szCs w:val="20"/>
          <w:lang w:val="en-US"/>
        </w:rPr>
        <w:t>design thinking</w:t>
      </w:r>
      <w:r w:rsidRPr="00833585">
        <w:rPr>
          <w:rFonts w:ascii="Times New Roman" w:hAnsi="Times New Roman"/>
          <w:szCs w:val="20"/>
          <w:lang w:val="en-US"/>
        </w:rPr>
        <w:t>.</w:t>
      </w:r>
    </w:p>
    <w:p w14:paraId="4EBF0CB9" w14:textId="77777777" w:rsidR="00FD6218" w:rsidRPr="000C1188" w:rsidRDefault="000A25DD" w:rsidP="00FD6218">
      <w:pPr>
        <w:pStyle w:val="PlainText"/>
        <w:rPr>
          <w:rFonts w:ascii="Times New Roman" w:hAnsi="Times New Roman"/>
          <w:szCs w:val="20"/>
        </w:rPr>
      </w:pPr>
      <w:hyperlink r:id="rId22" w:history="1">
        <w:r w:rsidR="00FD6218" w:rsidRPr="00833585">
          <w:rPr>
            <w:rStyle w:val="Hyperlink"/>
            <w:rFonts w:ascii="Times New Roman" w:hAnsi="Times New Roman"/>
            <w:szCs w:val="20"/>
            <w:lang w:val="en-US"/>
          </w:rPr>
          <w:t>https://doi.org/10.1145/3194313</w:t>
        </w:r>
      </w:hyperlink>
      <w:r w:rsidR="00FD6218" w:rsidRPr="000C1188">
        <w:rPr>
          <w:rFonts w:ascii="Times New Roman" w:hAnsi="Times New Roman"/>
          <w:szCs w:val="20"/>
        </w:rPr>
        <w:t xml:space="preserve"> </w:t>
      </w:r>
    </w:p>
    <w:p w14:paraId="24334476" w14:textId="77777777" w:rsidR="00FD6218" w:rsidRDefault="00FD6218" w:rsidP="00566CD7">
      <w:pPr>
        <w:pStyle w:val="PlainText"/>
        <w:rPr>
          <w:rFonts w:ascii="Times New Roman" w:hAnsi="Times New Roman"/>
        </w:rPr>
      </w:pPr>
    </w:p>
    <w:p w14:paraId="6B0D6253" w14:textId="422BC50C" w:rsidR="00566CD7" w:rsidRDefault="00566CD7" w:rsidP="00566CD7">
      <w:pPr>
        <w:pStyle w:val="PlainText"/>
        <w:rPr>
          <w:rFonts w:ascii="Times New Roman" w:hAnsi="Times New Roman"/>
        </w:rPr>
      </w:pPr>
      <w:r w:rsidRPr="00366248">
        <w:rPr>
          <w:rFonts w:ascii="Times New Roman" w:hAnsi="Times New Roman"/>
        </w:rPr>
        <w:t>Leifer, L., Plattner, H., &amp; Meinel, C. (2013).</w:t>
      </w:r>
      <w:r>
        <w:rPr>
          <w:rFonts w:ascii="Times New Roman" w:hAnsi="Times New Roman"/>
        </w:rPr>
        <w:t xml:space="preserve"> </w:t>
      </w:r>
      <w:r w:rsidRPr="00366248">
        <w:rPr>
          <w:rFonts w:ascii="Times New Roman" w:hAnsi="Times New Roman"/>
          <w:i/>
          <w:iCs/>
        </w:rPr>
        <w:t>Design Thinking Research: Building</w:t>
      </w:r>
      <w:r>
        <w:rPr>
          <w:rFonts w:ascii="Times New Roman" w:hAnsi="Times New Roman"/>
          <w:i/>
          <w:iCs/>
        </w:rPr>
        <w:t xml:space="preserve"> </w:t>
      </w:r>
      <w:r w:rsidRPr="00366248">
        <w:rPr>
          <w:rFonts w:ascii="Times New Roman" w:hAnsi="Times New Roman"/>
          <w:i/>
          <w:iCs/>
        </w:rPr>
        <w:t>Innovation Eco-Systems</w:t>
      </w:r>
      <w:r w:rsidRPr="00366248">
        <w:rPr>
          <w:rFonts w:ascii="Times New Roman" w:hAnsi="Times New Roman"/>
        </w:rPr>
        <w:t>.</w:t>
      </w:r>
    </w:p>
    <w:p w14:paraId="7B820CD3" w14:textId="77777777" w:rsidR="00566CD7" w:rsidRDefault="00566CD7" w:rsidP="00566CD7">
      <w:pPr>
        <w:pStyle w:val="PlainText"/>
        <w:rPr>
          <w:rFonts w:ascii="Times New Roman" w:hAnsi="Times New Roman"/>
        </w:rPr>
      </w:pPr>
    </w:p>
    <w:p w14:paraId="4732F276" w14:textId="77777777" w:rsidR="00566CD7" w:rsidRDefault="00566CD7" w:rsidP="00566CD7">
      <w:pPr>
        <w:pStyle w:val="PlainText"/>
        <w:rPr>
          <w:rFonts w:ascii="Times New Roman" w:hAnsi="Times New Roman"/>
          <w:color w:val="232323"/>
          <w:szCs w:val="20"/>
          <w:shd w:val="clear" w:color="auto" w:fill="FFFFFF"/>
        </w:rPr>
      </w:pPr>
      <w:r w:rsidRPr="00366248">
        <w:rPr>
          <w:rFonts w:ascii="Times New Roman" w:hAnsi="Times New Roman"/>
          <w:color w:val="232323"/>
          <w:szCs w:val="20"/>
          <w:shd w:val="clear" w:color="auto" w:fill="FFFFFF"/>
        </w:rPr>
        <w:t>Liedtka, J. (2014). Perspective: Linking Design Thinking with Innovation Outcomes through Cognitive Bias Reduction. Proceedings, 2014.</w:t>
      </w:r>
      <w:r w:rsidRPr="00366248">
        <w:rPr>
          <w:rFonts w:ascii="Times New Roman" w:hAnsi="Times New Roman"/>
          <w:color w:val="232323"/>
          <w:szCs w:val="20"/>
        </w:rPr>
        <w:br/>
      </w:r>
      <w:hyperlink r:id="rId23" w:history="1">
        <w:r w:rsidRPr="00366248">
          <w:rPr>
            <w:rStyle w:val="Hyperlink"/>
            <w:rFonts w:ascii="Times New Roman" w:hAnsi="Times New Roman"/>
            <w:szCs w:val="20"/>
          </w:rPr>
          <w:t>https://doi.org/10.5465/ambpp.2014.10628abstract</w:t>
        </w:r>
      </w:hyperlink>
    </w:p>
    <w:p w14:paraId="11A8BDF1" w14:textId="77777777" w:rsidR="00566CD7" w:rsidRDefault="00566CD7" w:rsidP="00566CD7">
      <w:pPr>
        <w:pStyle w:val="PlainText"/>
        <w:rPr>
          <w:rFonts w:ascii="Times New Roman" w:hAnsi="Times New Roman"/>
          <w:szCs w:val="20"/>
        </w:rPr>
      </w:pPr>
      <w:r w:rsidRPr="00210800">
        <w:rPr>
          <w:rFonts w:ascii="Times New Roman" w:hAnsi="Times New Roman"/>
          <w:szCs w:val="20"/>
        </w:rPr>
        <w:t xml:space="preserve">Ney, S., &amp; Meinel, C. (2019). </w:t>
      </w:r>
      <w:r w:rsidRPr="00210800">
        <w:rPr>
          <w:rFonts w:ascii="Times New Roman" w:hAnsi="Times New Roman"/>
          <w:i/>
          <w:iCs/>
          <w:szCs w:val="20"/>
        </w:rPr>
        <w:t>Putting Design</w:t>
      </w:r>
      <w:r w:rsidRPr="00210800">
        <w:rPr>
          <w:i/>
          <w:iCs/>
          <w:szCs w:val="20"/>
        </w:rPr>
        <w:t xml:space="preserve"> </w:t>
      </w:r>
      <w:r w:rsidRPr="00210800">
        <w:rPr>
          <w:rFonts w:ascii="Times New Roman" w:hAnsi="Times New Roman"/>
          <w:i/>
          <w:iCs/>
          <w:szCs w:val="20"/>
        </w:rPr>
        <w:t>Thinking</w:t>
      </w:r>
      <w:r w:rsidRPr="003E0719">
        <w:rPr>
          <w:rFonts w:ascii="Times New Roman" w:hAnsi="Times New Roman"/>
          <w:lang w:val="en-GB"/>
        </w:rPr>
        <w:t xml:space="preserve"> </w:t>
      </w:r>
      <w:r w:rsidRPr="00210800">
        <w:rPr>
          <w:rFonts w:ascii="Times New Roman" w:hAnsi="Times New Roman"/>
          <w:i/>
          <w:iCs/>
          <w:szCs w:val="20"/>
        </w:rPr>
        <w:t>to Work: How Large Organizations Can Embrace</w:t>
      </w:r>
      <w:r w:rsidRPr="003E0719">
        <w:rPr>
          <w:rFonts w:ascii="Times New Roman" w:hAnsi="Times New Roman"/>
          <w:lang w:val="en-GB"/>
        </w:rPr>
        <w:t xml:space="preserve"> </w:t>
      </w:r>
      <w:r w:rsidRPr="00210800">
        <w:rPr>
          <w:rFonts w:ascii="Times New Roman" w:hAnsi="Times New Roman"/>
          <w:i/>
          <w:iCs/>
          <w:szCs w:val="20"/>
        </w:rPr>
        <w:t>Messy Institutions to Tackle Wicked Problems</w:t>
      </w:r>
      <w:r w:rsidRPr="00210800">
        <w:rPr>
          <w:rFonts w:ascii="Times New Roman" w:hAnsi="Times New Roman"/>
          <w:szCs w:val="20"/>
        </w:rPr>
        <w:t>. Springer.</w:t>
      </w:r>
    </w:p>
    <w:p w14:paraId="21943A1B" w14:textId="77777777" w:rsidR="004E6F91" w:rsidRDefault="004E6F91" w:rsidP="00566CD7">
      <w:pPr>
        <w:pStyle w:val="PlainText"/>
        <w:rPr>
          <w:rFonts w:ascii="Times New Roman" w:hAnsi="Times New Roman"/>
          <w:szCs w:val="20"/>
        </w:rPr>
      </w:pPr>
    </w:p>
    <w:p w14:paraId="64623882" w14:textId="77777777" w:rsidR="004E6F91" w:rsidRPr="002270A6" w:rsidRDefault="004E6F91" w:rsidP="004E6F91">
      <w:pPr>
        <w:autoSpaceDE w:val="0"/>
        <w:autoSpaceDN w:val="0"/>
        <w:adjustRightInd w:val="0"/>
        <w:rPr>
          <w:sz w:val="20"/>
          <w:szCs w:val="20"/>
          <w:lang w:val="en-SG" w:eastAsia="zh-CN"/>
        </w:rPr>
      </w:pPr>
      <w:proofErr w:type="spellStart"/>
      <w:r w:rsidRPr="002270A6">
        <w:rPr>
          <w:sz w:val="20"/>
          <w:szCs w:val="20"/>
          <w:lang w:val="en-SG" w:eastAsia="zh-CN"/>
        </w:rPr>
        <w:t>Nieusma</w:t>
      </w:r>
      <w:proofErr w:type="spellEnd"/>
      <w:r w:rsidRPr="002270A6">
        <w:rPr>
          <w:sz w:val="20"/>
          <w:szCs w:val="20"/>
          <w:lang w:val="en-SG" w:eastAsia="zh-CN"/>
        </w:rPr>
        <w:t>, D. (2018). Engineering/design frictions: Exploring competing knowledge systems via efforts to</w:t>
      </w:r>
    </w:p>
    <w:p w14:paraId="271EBE87" w14:textId="77777777" w:rsidR="004E6F91" w:rsidRPr="002270A6" w:rsidRDefault="004E6F91" w:rsidP="004E6F91">
      <w:pPr>
        <w:autoSpaceDE w:val="0"/>
        <w:autoSpaceDN w:val="0"/>
        <w:adjustRightInd w:val="0"/>
        <w:rPr>
          <w:i/>
          <w:iCs/>
          <w:sz w:val="20"/>
          <w:szCs w:val="20"/>
          <w:lang w:val="en-SG" w:eastAsia="zh-CN"/>
        </w:rPr>
      </w:pPr>
      <w:r w:rsidRPr="002270A6">
        <w:rPr>
          <w:sz w:val="20"/>
          <w:szCs w:val="20"/>
          <w:lang w:val="en-SG" w:eastAsia="zh-CN"/>
        </w:rPr>
        <w:t xml:space="preserve">integrate design principles into engineering education. In </w:t>
      </w:r>
      <w:r w:rsidRPr="002270A6">
        <w:rPr>
          <w:i/>
          <w:iCs/>
          <w:sz w:val="20"/>
          <w:szCs w:val="20"/>
          <w:lang w:val="en-SG" w:eastAsia="zh-CN"/>
        </w:rPr>
        <w:t>Proceedings of the American Society for</w:t>
      </w:r>
    </w:p>
    <w:p w14:paraId="6180042D" w14:textId="77777777" w:rsidR="004E6F91" w:rsidRPr="002270A6" w:rsidRDefault="004E6F91" w:rsidP="004E6F91">
      <w:pPr>
        <w:rPr>
          <w:rFonts w:eastAsia="Times New Roman"/>
          <w:color w:val="232323"/>
          <w:sz w:val="20"/>
          <w:szCs w:val="20"/>
          <w:lang w:val="en-SG" w:eastAsia="en-SG"/>
        </w:rPr>
      </w:pPr>
      <w:r w:rsidRPr="002270A6">
        <w:rPr>
          <w:i/>
          <w:iCs/>
          <w:sz w:val="20"/>
          <w:szCs w:val="20"/>
          <w:lang w:val="en-SG" w:eastAsia="zh-CN"/>
        </w:rPr>
        <w:t>Engineering Education</w:t>
      </w:r>
      <w:r w:rsidRPr="002270A6">
        <w:rPr>
          <w:sz w:val="20"/>
          <w:szCs w:val="20"/>
          <w:lang w:val="en-SG" w:eastAsia="zh-CN"/>
        </w:rPr>
        <w:t>, Salt Lake City, June.</w:t>
      </w:r>
      <w:r w:rsidRPr="002270A6">
        <w:rPr>
          <w:rFonts w:eastAsia="Times New Roman"/>
          <w:color w:val="232323"/>
          <w:sz w:val="20"/>
          <w:szCs w:val="20"/>
          <w:lang w:val="en-SG" w:eastAsia="en-SG"/>
        </w:rPr>
        <w:t xml:space="preserve"> </w:t>
      </w:r>
    </w:p>
    <w:p w14:paraId="118B8D10" w14:textId="77777777" w:rsidR="00566CD7" w:rsidRDefault="00566CD7" w:rsidP="00566CD7">
      <w:pPr>
        <w:pStyle w:val="PlainText"/>
        <w:rPr>
          <w:rFonts w:ascii="Times New Roman" w:hAnsi="Times New Roman"/>
          <w:color w:val="232323"/>
          <w:szCs w:val="20"/>
          <w:shd w:val="clear" w:color="auto" w:fill="FFFFFF"/>
        </w:rPr>
      </w:pPr>
    </w:p>
    <w:p w14:paraId="5FC19DE1" w14:textId="77777777" w:rsidR="00986AF6" w:rsidRPr="00833585" w:rsidRDefault="00986AF6" w:rsidP="00986AF6">
      <w:pPr>
        <w:pStyle w:val="PlainText"/>
        <w:rPr>
          <w:rFonts w:ascii="Times New Roman" w:hAnsi="Times New Roman"/>
          <w:szCs w:val="20"/>
          <w:lang w:val="en-US"/>
        </w:rPr>
      </w:pPr>
      <w:r w:rsidRPr="00833585">
        <w:rPr>
          <w:rFonts w:ascii="Times New Roman" w:hAnsi="Times New Roman"/>
          <w:szCs w:val="20"/>
          <w:lang w:val="en-US"/>
        </w:rPr>
        <w:t xml:space="preserve">Sanders, Elizabeth B.-N.; </w:t>
      </w:r>
      <w:proofErr w:type="spellStart"/>
      <w:r w:rsidRPr="00833585">
        <w:rPr>
          <w:rFonts w:ascii="Times New Roman" w:hAnsi="Times New Roman"/>
          <w:szCs w:val="20"/>
          <w:lang w:val="en-US"/>
        </w:rPr>
        <w:t>Stappers</w:t>
      </w:r>
      <w:proofErr w:type="spellEnd"/>
      <w:r w:rsidRPr="00833585">
        <w:rPr>
          <w:rFonts w:ascii="Times New Roman" w:hAnsi="Times New Roman"/>
          <w:szCs w:val="20"/>
          <w:lang w:val="en-US"/>
        </w:rPr>
        <w:t>, Pieter Jan</w:t>
      </w:r>
    </w:p>
    <w:p w14:paraId="3B73D0BE" w14:textId="7AA440E7" w:rsidR="00AD3B1E" w:rsidRDefault="00986AF6" w:rsidP="00AD3B1E">
      <w:pPr>
        <w:pStyle w:val="PlainText"/>
        <w:rPr>
          <w:rFonts w:ascii="Times New Roman" w:hAnsi="Times New Roman"/>
          <w:szCs w:val="20"/>
          <w:lang w:val="en-US"/>
        </w:rPr>
      </w:pPr>
      <w:proofErr w:type="spellStart"/>
      <w:r w:rsidRPr="00833585">
        <w:rPr>
          <w:rFonts w:ascii="Times New Roman" w:hAnsi="Times New Roman"/>
          <w:szCs w:val="20"/>
          <w:lang w:val="en-US"/>
        </w:rPr>
        <w:t>CoDesign</w:t>
      </w:r>
      <w:proofErr w:type="spellEnd"/>
      <w:r w:rsidR="00AD3B1E">
        <w:rPr>
          <w:rFonts w:ascii="Times New Roman" w:hAnsi="Times New Roman"/>
          <w:szCs w:val="20"/>
          <w:lang w:val="en-US"/>
        </w:rPr>
        <w:t xml:space="preserve"> (</w:t>
      </w:r>
      <w:r w:rsidRPr="00833585">
        <w:rPr>
          <w:rFonts w:ascii="Times New Roman" w:hAnsi="Times New Roman"/>
          <w:szCs w:val="20"/>
          <w:lang w:val="en-US"/>
        </w:rPr>
        <w:t>2008</w:t>
      </w:r>
      <w:r w:rsidR="00AD3B1E">
        <w:rPr>
          <w:rFonts w:ascii="Times New Roman" w:hAnsi="Times New Roman"/>
          <w:szCs w:val="20"/>
          <w:lang w:val="en-US"/>
        </w:rPr>
        <w:t>)</w:t>
      </w:r>
      <w:r w:rsidRPr="00833585">
        <w:rPr>
          <w:rFonts w:ascii="Times New Roman" w:hAnsi="Times New Roman"/>
          <w:szCs w:val="20"/>
          <w:lang w:val="en-US"/>
        </w:rPr>
        <w:t>.</w:t>
      </w:r>
      <w:r w:rsidR="00AD3B1E" w:rsidRPr="00AD3B1E">
        <w:rPr>
          <w:szCs w:val="20"/>
        </w:rPr>
        <w:t xml:space="preserve"> </w:t>
      </w:r>
      <w:r w:rsidR="00AD3B1E" w:rsidRPr="00833585">
        <w:rPr>
          <w:rFonts w:ascii="Times New Roman" w:hAnsi="Times New Roman"/>
          <w:szCs w:val="20"/>
          <w:lang w:val="en-US"/>
        </w:rPr>
        <w:t>Co-creation and the new landscapes of design</w:t>
      </w:r>
    </w:p>
    <w:p w14:paraId="754C1DFC" w14:textId="77777777" w:rsidR="003248F7" w:rsidRDefault="003248F7" w:rsidP="00AD3B1E">
      <w:pPr>
        <w:pStyle w:val="PlainText"/>
        <w:rPr>
          <w:rFonts w:ascii="Times New Roman" w:hAnsi="Times New Roman"/>
          <w:szCs w:val="20"/>
          <w:lang w:val="en-US"/>
        </w:rPr>
      </w:pPr>
    </w:p>
    <w:p w14:paraId="2D5E12C5" w14:textId="5294A11E" w:rsidR="003C1743" w:rsidRDefault="003248F7" w:rsidP="00AD3B1E">
      <w:pPr>
        <w:pStyle w:val="PlainText"/>
        <w:rPr>
          <w:rStyle w:val="ui-provider"/>
          <w:rFonts w:ascii="Times New Roman" w:hAnsi="Times New Roman"/>
          <w:szCs w:val="20"/>
        </w:rPr>
      </w:pPr>
      <w:r w:rsidRPr="002C7C42">
        <w:rPr>
          <w:rStyle w:val="ui-provider"/>
          <w:rFonts w:ascii="Times New Roman" w:hAnsi="Times New Roman"/>
          <w:szCs w:val="20"/>
        </w:rPr>
        <w:t>Swan, R. H., Plummer, K. J., &amp; West, R. E. (2020). Toward Functional Expertise through Formal Education: Identifying an Opportunity for Higher Education. Educational Technology Research and Development, 68(5), 2551–2568.</w:t>
      </w:r>
    </w:p>
    <w:p w14:paraId="712005DC" w14:textId="77777777" w:rsidR="003248F7" w:rsidRPr="002C7C42" w:rsidRDefault="003248F7" w:rsidP="00AD3B1E">
      <w:pPr>
        <w:pStyle w:val="PlainText"/>
        <w:rPr>
          <w:rFonts w:ascii="Times New Roman" w:hAnsi="Times New Roman"/>
          <w:szCs w:val="20"/>
          <w:lang w:val="en-US"/>
        </w:rPr>
      </w:pPr>
    </w:p>
    <w:p w14:paraId="6BED6457" w14:textId="77777777" w:rsidR="003C1743" w:rsidRDefault="003C1743" w:rsidP="003C1743">
      <w:pPr>
        <w:pStyle w:val="PlainText"/>
        <w:rPr>
          <w:rFonts w:ascii="Times New Roman" w:hAnsi="Times New Roman"/>
          <w:i/>
          <w:iCs/>
          <w:szCs w:val="20"/>
          <w:lang w:val="en-US"/>
        </w:rPr>
      </w:pPr>
      <w:r w:rsidRPr="00593DE2">
        <w:rPr>
          <w:rFonts w:ascii="Times New Roman" w:hAnsi="Times New Roman"/>
          <w:szCs w:val="20"/>
          <w:lang w:val="en-US"/>
        </w:rPr>
        <w:t xml:space="preserve">Tan, V., Nicholas, C., Scribner, J. A., &amp; Francis, D. C. (2019). Enhancing STEM learning through an interdisciplinary, industry-generated Project. </w:t>
      </w:r>
      <w:r w:rsidRPr="00593DE2">
        <w:rPr>
          <w:rFonts w:ascii="Times New Roman" w:hAnsi="Times New Roman"/>
          <w:i/>
          <w:iCs/>
          <w:szCs w:val="20"/>
          <w:lang w:val="en-US"/>
        </w:rPr>
        <w:t>Technology and Engineering Teacher</w:t>
      </w:r>
      <w:r>
        <w:rPr>
          <w:rFonts w:ascii="Times New Roman" w:hAnsi="Times New Roman"/>
          <w:i/>
          <w:iCs/>
          <w:szCs w:val="20"/>
          <w:lang w:val="en-US"/>
        </w:rPr>
        <w:t>.</w:t>
      </w:r>
    </w:p>
    <w:p w14:paraId="58A8D35E" w14:textId="77777777" w:rsidR="00986AF6" w:rsidRDefault="00986AF6" w:rsidP="00566CD7">
      <w:pPr>
        <w:pStyle w:val="PlainText"/>
        <w:rPr>
          <w:rFonts w:ascii="Times New Roman" w:hAnsi="Times New Roman"/>
          <w:color w:val="232323"/>
          <w:szCs w:val="20"/>
          <w:shd w:val="clear" w:color="auto" w:fill="FFFFFF"/>
        </w:rPr>
      </w:pPr>
    </w:p>
    <w:p w14:paraId="5E3C8411" w14:textId="52A37AC2" w:rsidR="00426EB7" w:rsidRDefault="00426EB7" w:rsidP="00566CD7">
      <w:pPr>
        <w:pStyle w:val="PlainText"/>
        <w:rPr>
          <w:rStyle w:val="ui-provider"/>
          <w:rFonts w:ascii="Times New Roman" w:hAnsi="Times New Roman"/>
        </w:rPr>
      </w:pPr>
      <w:r w:rsidRPr="00210800">
        <w:rPr>
          <w:rStyle w:val="ui-provider"/>
          <w:rFonts w:ascii="Times New Roman" w:hAnsi="Times New Roman"/>
        </w:rPr>
        <w:t>Van den Beemt, A., Dolmans, D. H. J. M., de Graaff, E., &amp; Verstegen, D. M. L. (2020). Interdisciplinary Engineering Education: A Review of Vision, Teaching, and Support. Journal of Engineering Education, 109(3), 508–555.</w:t>
      </w:r>
    </w:p>
    <w:p w14:paraId="1AB18236" w14:textId="77777777" w:rsidR="00426EB7" w:rsidRDefault="00426EB7" w:rsidP="00566CD7">
      <w:pPr>
        <w:pStyle w:val="PlainText"/>
        <w:rPr>
          <w:rFonts w:ascii="Times New Roman" w:hAnsi="Times New Roman"/>
          <w:color w:val="232323"/>
          <w:szCs w:val="20"/>
          <w:shd w:val="clear" w:color="auto" w:fill="FFFFFF"/>
        </w:rPr>
      </w:pPr>
    </w:p>
    <w:p w14:paraId="31AF4F5E" w14:textId="77777777" w:rsidR="00566CD7" w:rsidRDefault="00566CD7" w:rsidP="00566CD7">
      <w:pPr>
        <w:pStyle w:val="PlainText"/>
        <w:rPr>
          <w:rFonts w:ascii="Times New Roman" w:hAnsi="Times New Roman"/>
          <w:szCs w:val="20"/>
          <w:lang w:val="en-US"/>
        </w:rPr>
      </w:pPr>
      <w:proofErr w:type="spellStart"/>
      <w:r w:rsidRPr="00593DE2">
        <w:rPr>
          <w:rFonts w:ascii="Times New Roman" w:hAnsi="Times New Roman"/>
          <w:szCs w:val="20"/>
          <w:lang w:val="en-US"/>
        </w:rPr>
        <w:t>Zeltina</w:t>
      </w:r>
      <w:proofErr w:type="spellEnd"/>
      <w:r w:rsidRPr="00593DE2">
        <w:rPr>
          <w:rFonts w:ascii="Times New Roman" w:hAnsi="Times New Roman"/>
          <w:szCs w:val="20"/>
          <w:lang w:val="en-US"/>
        </w:rPr>
        <w:t xml:space="preserve">, M. (2021). Design thinking for sustainable development. </w:t>
      </w:r>
      <w:r w:rsidRPr="00593DE2">
        <w:rPr>
          <w:rFonts w:ascii="Times New Roman" w:hAnsi="Times New Roman"/>
          <w:i/>
          <w:iCs/>
          <w:szCs w:val="20"/>
          <w:lang w:val="en-US"/>
        </w:rPr>
        <w:t>Turkish Journal of Computer and Mathematics Education</w:t>
      </w:r>
      <w:r w:rsidRPr="00593DE2">
        <w:rPr>
          <w:rFonts w:ascii="Times New Roman" w:hAnsi="Times New Roman"/>
          <w:szCs w:val="20"/>
          <w:lang w:val="en-US"/>
        </w:rPr>
        <w:t xml:space="preserve">, </w:t>
      </w:r>
      <w:r w:rsidRPr="00593DE2">
        <w:rPr>
          <w:rFonts w:ascii="Times New Roman" w:hAnsi="Times New Roman"/>
          <w:i/>
          <w:iCs/>
          <w:szCs w:val="20"/>
          <w:lang w:val="en-US"/>
        </w:rPr>
        <w:t>12</w:t>
      </w:r>
      <w:r w:rsidRPr="00593DE2">
        <w:rPr>
          <w:rFonts w:ascii="Times New Roman" w:hAnsi="Times New Roman"/>
          <w:szCs w:val="20"/>
          <w:lang w:val="en-US"/>
        </w:rPr>
        <w:t>(6), 1363-1368</w:t>
      </w:r>
    </w:p>
    <w:p w14:paraId="2D84979A" w14:textId="77777777" w:rsidR="00566CD7" w:rsidRPr="00A0588C" w:rsidRDefault="00566CD7" w:rsidP="00566CD7">
      <w:pPr>
        <w:pStyle w:val="PlainText"/>
        <w:jc w:val="both"/>
        <w:rPr>
          <w:rFonts w:ascii="Times New Roman" w:hAnsi="Times New Roman"/>
          <w:lang w:val="en-GB" w:eastAsia="ja-JP"/>
        </w:rPr>
      </w:pPr>
    </w:p>
    <w:p w14:paraId="2146534B" w14:textId="6FAE364E" w:rsidR="00A718F5" w:rsidRDefault="00A718F5" w:rsidP="00366248">
      <w:pPr>
        <w:pStyle w:val="PlainText"/>
        <w:rPr>
          <w:rFonts w:ascii="Times New Roman" w:hAnsi="Times New Roman"/>
          <w:szCs w:val="20"/>
        </w:rPr>
      </w:pPr>
    </w:p>
    <w:p w14:paraId="58CD6CCA" w14:textId="77777777" w:rsidR="00011B2F" w:rsidRPr="003E4494" w:rsidRDefault="00011B2F" w:rsidP="00A718F5">
      <w:pPr>
        <w:pStyle w:val="PlainText"/>
        <w:jc w:val="both"/>
        <w:rPr>
          <w:rFonts w:ascii="Times New Roman" w:hAnsi="Times New Roman"/>
          <w:szCs w:val="20"/>
        </w:rPr>
      </w:pPr>
    </w:p>
    <w:p w14:paraId="531F54D5" w14:textId="77777777" w:rsidR="0027713A" w:rsidRDefault="0027713A" w:rsidP="008D3E1D">
      <w:pPr>
        <w:pStyle w:val="PlainText"/>
        <w:rPr>
          <w:rFonts w:ascii="Times New Roman" w:hAnsi="Times New Roman"/>
          <w:szCs w:val="20"/>
          <w:lang w:val="en-US"/>
        </w:rPr>
      </w:pPr>
    </w:p>
    <w:p w14:paraId="33EB3BAD" w14:textId="77777777" w:rsidR="0027713A" w:rsidRDefault="0027713A" w:rsidP="00366248">
      <w:pPr>
        <w:pStyle w:val="PlainText"/>
        <w:rPr>
          <w:rFonts w:ascii="Times New Roman" w:hAnsi="Times New Roman"/>
          <w:color w:val="0000FF"/>
          <w:lang w:val="en-GB" w:eastAsia="ja-JP"/>
        </w:rPr>
      </w:pPr>
    </w:p>
    <w:p w14:paraId="53F474BB" w14:textId="77777777" w:rsidR="00F17E73" w:rsidRPr="00F71335" w:rsidRDefault="00F17E73" w:rsidP="00A0588C">
      <w:pPr>
        <w:pStyle w:val="PlainText"/>
        <w:contextualSpacing/>
        <w:jc w:val="both"/>
        <w:rPr>
          <w:rFonts w:ascii="Times New Roman" w:hAnsi="Times New Roman"/>
          <w:color w:val="0000FF"/>
          <w:lang w:val="en-GB" w:eastAsia="ja-JP"/>
        </w:rPr>
      </w:pPr>
    </w:p>
    <w:p w14:paraId="713C9284" w14:textId="77777777" w:rsidR="00A94A51" w:rsidRPr="00A0588C" w:rsidRDefault="00A94A51" w:rsidP="00A0588C">
      <w:pPr>
        <w:pStyle w:val="PlainText"/>
        <w:jc w:val="both"/>
        <w:rPr>
          <w:rFonts w:ascii="Times New Roman" w:hAnsi="Times New Roman"/>
          <w:lang w:val="en-GB" w:eastAsia="ja-JP"/>
        </w:rPr>
      </w:pPr>
    </w:p>
    <w:p w14:paraId="3BCDCE2F" w14:textId="77777777" w:rsidR="00A94A51" w:rsidRDefault="00A94A51">
      <w:pPr>
        <w:pStyle w:val="PlainText"/>
        <w:ind w:firstLine="284"/>
        <w:jc w:val="both"/>
        <w:rPr>
          <w:rFonts w:ascii="Times New Roman" w:hAnsi="Times New Roman"/>
          <w:lang w:val="en-GB"/>
        </w:rPr>
      </w:pPr>
    </w:p>
    <w:p w14:paraId="616BC135" w14:textId="77777777" w:rsidR="00A94A51" w:rsidRDefault="00A94A51">
      <w:pPr>
        <w:pStyle w:val="PlainText"/>
        <w:ind w:firstLine="284"/>
        <w:jc w:val="both"/>
        <w:rPr>
          <w:rFonts w:ascii="Times New Roman" w:hAnsi="Times New Roman"/>
          <w:lang w:val="en-GB"/>
        </w:rPr>
      </w:pPr>
    </w:p>
    <w:p w14:paraId="7DDFE9D0" w14:textId="77777777" w:rsidR="00A94A51" w:rsidRDefault="00A94A51">
      <w:pPr>
        <w:pStyle w:val="PlainText"/>
        <w:ind w:firstLine="284"/>
        <w:jc w:val="both"/>
        <w:rPr>
          <w:rFonts w:ascii="Times New Roman" w:hAnsi="Times New Roman"/>
          <w:lang w:val="en-GB"/>
        </w:rPr>
      </w:pPr>
    </w:p>
    <w:p w14:paraId="1219CF6B" w14:textId="77777777" w:rsidR="00A94A51" w:rsidRDefault="00A94A51">
      <w:pPr>
        <w:pStyle w:val="PlainText"/>
        <w:ind w:firstLine="284"/>
        <w:jc w:val="both"/>
        <w:rPr>
          <w:rFonts w:ascii="Times New Roman" w:hAnsi="Times New Roman"/>
          <w:i/>
          <w:lang w:val="en-GB"/>
        </w:rPr>
      </w:pPr>
      <w:r>
        <w:rPr>
          <w:rFonts w:ascii="Times New Roman" w:hAnsi="Times New Roman"/>
          <w:i/>
          <w:lang w:val="en-GB"/>
        </w:rPr>
        <w:t xml:space="preserve"> </w:t>
      </w:r>
    </w:p>
    <w:sectPr w:rsidR="00A94A51" w:rsidSect="000D146F">
      <w:type w:val="continuous"/>
      <w:pgSz w:w="11906" w:h="16838" w:code="9"/>
      <w:pgMar w:top="1418" w:right="1134" w:bottom="1134" w:left="1134" w:header="720" w:footer="720" w:gutter="0"/>
      <w:pgNumType w:start="9"/>
      <w:cols w:num="2" w:space="567" w:equalWidth="0">
        <w:col w:w="4536" w:space="567"/>
        <w:col w:w="453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9B950" w14:textId="77777777" w:rsidR="004C7114" w:rsidRDefault="004C7114">
      <w:r>
        <w:separator/>
      </w:r>
    </w:p>
  </w:endnote>
  <w:endnote w:type="continuationSeparator" w:id="0">
    <w:p w14:paraId="3D77D521" w14:textId="77777777" w:rsidR="004C7114" w:rsidRDefault="004C7114">
      <w:r>
        <w:continuationSeparator/>
      </w:r>
    </w:p>
  </w:endnote>
  <w:endnote w:type="continuationNotice" w:id="1">
    <w:p w14:paraId="3B1C92B0" w14:textId="77777777" w:rsidR="004C7114" w:rsidRDefault="004C71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2B214" w14:textId="77777777" w:rsidR="00DE1420" w:rsidRDefault="00DE14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E919F" w14:textId="77777777" w:rsidR="00DE1420" w:rsidRDefault="00DE14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697D5" w14:textId="77777777" w:rsidR="00DE1420" w:rsidRDefault="00DE14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09394" w14:textId="77777777" w:rsidR="004C7114" w:rsidRDefault="004C7114">
      <w:r>
        <w:separator/>
      </w:r>
    </w:p>
  </w:footnote>
  <w:footnote w:type="continuationSeparator" w:id="0">
    <w:p w14:paraId="5332D9A1" w14:textId="77777777" w:rsidR="004C7114" w:rsidRDefault="004C7114">
      <w:r>
        <w:continuationSeparator/>
      </w:r>
    </w:p>
  </w:footnote>
  <w:footnote w:type="continuationNotice" w:id="1">
    <w:p w14:paraId="3B7D3BE4" w14:textId="77777777" w:rsidR="004C7114" w:rsidRDefault="004C71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FC6C" w14:textId="77777777" w:rsidR="00DE1420" w:rsidRDefault="00DE14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A25A3" w14:textId="77777777" w:rsidR="007A4FF8" w:rsidRPr="00866BAC" w:rsidRDefault="007A4FF8" w:rsidP="00601880">
    <w:pPr>
      <w:pStyle w:val="Header"/>
      <w:jc w:val="right"/>
      <w:rPr>
        <w:rFonts w:ascii="Arial" w:hAnsi="Arial" w:cs="Arial"/>
        <w:sz w:val="28"/>
        <w:szCs w:val="28"/>
      </w:rPr>
    </w:pPr>
    <w:r w:rsidRPr="00CB53B8">
      <w:tab/>
    </w:r>
    <w:r w:rsidRPr="00CB53B8">
      <w:tab/>
    </w:r>
    <w:r w:rsidR="00601880" w:rsidRPr="00CB53B8">
      <w:t xml:space="preserve">   </w:t>
    </w:r>
  </w:p>
  <w:p w14:paraId="3372C4F1" w14:textId="77777777" w:rsidR="00122CEB" w:rsidRPr="005811F7" w:rsidRDefault="00122CEB" w:rsidP="00122CEB">
    <w:pPr>
      <w:pStyle w:val="Footer"/>
      <w:rPr>
        <w:i/>
        <w:color w:val="FF0000"/>
        <w:sz w:val="18"/>
        <w:szCs w:val="18"/>
        <w:lang w:eastAsia="ja-JP"/>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CBBD4" w14:textId="77777777" w:rsidR="00DE1420" w:rsidRDefault="00DE14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272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F401112"/>
    <w:multiLevelType w:val="multilevel"/>
    <w:tmpl w:val="02E8F79C"/>
    <w:lvl w:ilvl="0">
      <w:start w:val="1"/>
      <w:numFmt w:val="bullet"/>
      <w:lvlText w:val="o"/>
      <w:lvlJc w:val="left"/>
      <w:pPr>
        <w:tabs>
          <w:tab w:val="num" w:pos="1004"/>
        </w:tabs>
        <w:ind w:left="1004" w:hanging="360"/>
      </w:pPr>
      <w:rPr>
        <w:rFonts w:ascii="Courier New" w:hAnsi="Courier New" w:cs="Courier New"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24B31335"/>
    <w:multiLevelType w:val="multilevel"/>
    <w:tmpl w:val="01CE8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655970"/>
    <w:multiLevelType w:val="hybridMultilevel"/>
    <w:tmpl w:val="B636DC8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43217ACA"/>
    <w:multiLevelType w:val="hybridMultilevel"/>
    <w:tmpl w:val="06DEEE6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5531744F"/>
    <w:multiLevelType w:val="multilevel"/>
    <w:tmpl w:val="84B44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9C0BB3"/>
    <w:multiLevelType w:val="hybridMultilevel"/>
    <w:tmpl w:val="02E8F79C"/>
    <w:lvl w:ilvl="0" w:tplc="04090003">
      <w:start w:val="1"/>
      <w:numFmt w:val="bullet"/>
      <w:lvlText w:val="o"/>
      <w:lvlJc w:val="left"/>
      <w:pPr>
        <w:tabs>
          <w:tab w:val="num" w:pos="1004"/>
        </w:tabs>
        <w:ind w:left="1004" w:hanging="360"/>
      </w:pPr>
      <w:rPr>
        <w:rFonts w:ascii="Courier New" w:hAnsi="Courier New" w:cs="Courier New"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74664F90"/>
    <w:multiLevelType w:val="hybridMultilevel"/>
    <w:tmpl w:val="FBF2380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4"/>
  </w:num>
  <w:num w:numId="5">
    <w:abstractNumId w:val="5"/>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12289"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1MTQwtTA0MTM2sjBW0lEKTi0uzszPAykwrAUAVWBwXSwAAAA="/>
  </w:docVars>
  <w:rsids>
    <w:rsidRoot w:val="0007380B"/>
    <w:rsid w:val="00011B2F"/>
    <w:rsid w:val="0002428E"/>
    <w:rsid w:val="0002488B"/>
    <w:rsid w:val="00024B42"/>
    <w:rsid w:val="00025AE1"/>
    <w:rsid w:val="000261B3"/>
    <w:rsid w:val="00044A21"/>
    <w:rsid w:val="000472A3"/>
    <w:rsid w:val="00055E54"/>
    <w:rsid w:val="00057974"/>
    <w:rsid w:val="0007380B"/>
    <w:rsid w:val="00074404"/>
    <w:rsid w:val="000A2212"/>
    <w:rsid w:val="000A25DD"/>
    <w:rsid w:val="000A4E28"/>
    <w:rsid w:val="000A79F3"/>
    <w:rsid w:val="000B3C28"/>
    <w:rsid w:val="000C794D"/>
    <w:rsid w:val="000D0049"/>
    <w:rsid w:val="000D0236"/>
    <w:rsid w:val="000D146F"/>
    <w:rsid w:val="000D20AC"/>
    <w:rsid w:val="000E0E4F"/>
    <w:rsid w:val="000F1038"/>
    <w:rsid w:val="00100B3F"/>
    <w:rsid w:val="001068DB"/>
    <w:rsid w:val="00122CEB"/>
    <w:rsid w:val="00123430"/>
    <w:rsid w:val="00131D8E"/>
    <w:rsid w:val="00133F89"/>
    <w:rsid w:val="00135C8F"/>
    <w:rsid w:val="00143F80"/>
    <w:rsid w:val="0014511F"/>
    <w:rsid w:val="00146CBE"/>
    <w:rsid w:val="001554FF"/>
    <w:rsid w:val="00164EE3"/>
    <w:rsid w:val="00185219"/>
    <w:rsid w:val="001A1211"/>
    <w:rsid w:val="001A5777"/>
    <w:rsid w:val="001A5B38"/>
    <w:rsid w:val="001B5594"/>
    <w:rsid w:val="001C3868"/>
    <w:rsid w:val="001C635E"/>
    <w:rsid w:val="001C66F8"/>
    <w:rsid w:val="001D3916"/>
    <w:rsid w:val="001D77E3"/>
    <w:rsid w:val="001E0D38"/>
    <w:rsid w:val="001F040F"/>
    <w:rsid w:val="00200167"/>
    <w:rsid w:val="0020389D"/>
    <w:rsid w:val="002044EE"/>
    <w:rsid w:val="002047EC"/>
    <w:rsid w:val="002054BE"/>
    <w:rsid w:val="00206A58"/>
    <w:rsid w:val="002270A6"/>
    <w:rsid w:val="002539A4"/>
    <w:rsid w:val="0025533F"/>
    <w:rsid w:val="00262974"/>
    <w:rsid w:val="00271C12"/>
    <w:rsid w:val="00273D26"/>
    <w:rsid w:val="00273E88"/>
    <w:rsid w:val="00277040"/>
    <w:rsid w:val="0027713A"/>
    <w:rsid w:val="00284DB9"/>
    <w:rsid w:val="002861AA"/>
    <w:rsid w:val="002A0924"/>
    <w:rsid w:val="002A70E5"/>
    <w:rsid w:val="002B0250"/>
    <w:rsid w:val="002B0D86"/>
    <w:rsid w:val="002B4564"/>
    <w:rsid w:val="002B641C"/>
    <w:rsid w:val="002C3F01"/>
    <w:rsid w:val="002C7C42"/>
    <w:rsid w:val="002F266D"/>
    <w:rsid w:val="002F5C4C"/>
    <w:rsid w:val="003013DC"/>
    <w:rsid w:val="003018F1"/>
    <w:rsid w:val="00312525"/>
    <w:rsid w:val="00313EFA"/>
    <w:rsid w:val="00320DB3"/>
    <w:rsid w:val="003248F7"/>
    <w:rsid w:val="003259A5"/>
    <w:rsid w:val="00326971"/>
    <w:rsid w:val="00333F11"/>
    <w:rsid w:val="0034119D"/>
    <w:rsid w:val="00352BA5"/>
    <w:rsid w:val="00362F45"/>
    <w:rsid w:val="00366248"/>
    <w:rsid w:val="00372274"/>
    <w:rsid w:val="00375DBF"/>
    <w:rsid w:val="00377821"/>
    <w:rsid w:val="003853F2"/>
    <w:rsid w:val="00386209"/>
    <w:rsid w:val="00386F1D"/>
    <w:rsid w:val="00397E0A"/>
    <w:rsid w:val="003A2D3D"/>
    <w:rsid w:val="003A3C4E"/>
    <w:rsid w:val="003B09EA"/>
    <w:rsid w:val="003B6524"/>
    <w:rsid w:val="003C1743"/>
    <w:rsid w:val="003C3977"/>
    <w:rsid w:val="003D4990"/>
    <w:rsid w:val="003D7E1E"/>
    <w:rsid w:val="003E0719"/>
    <w:rsid w:val="003E4494"/>
    <w:rsid w:val="003E4F7B"/>
    <w:rsid w:val="00411AE8"/>
    <w:rsid w:val="004137A4"/>
    <w:rsid w:val="00426EB7"/>
    <w:rsid w:val="00446838"/>
    <w:rsid w:val="00462713"/>
    <w:rsid w:val="00472334"/>
    <w:rsid w:val="00473179"/>
    <w:rsid w:val="004757B7"/>
    <w:rsid w:val="00476602"/>
    <w:rsid w:val="00476FD4"/>
    <w:rsid w:val="00480EB2"/>
    <w:rsid w:val="00484C7F"/>
    <w:rsid w:val="004B03EF"/>
    <w:rsid w:val="004B5DA5"/>
    <w:rsid w:val="004B7E53"/>
    <w:rsid w:val="004C35EE"/>
    <w:rsid w:val="004C58B0"/>
    <w:rsid w:val="004C686B"/>
    <w:rsid w:val="004C7114"/>
    <w:rsid w:val="004E1C9D"/>
    <w:rsid w:val="004E353E"/>
    <w:rsid w:val="004E6F91"/>
    <w:rsid w:val="004E757A"/>
    <w:rsid w:val="004F10B0"/>
    <w:rsid w:val="004F407E"/>
    <w:rsid w:val="00500A07"/>
    <w:rsid w:val="00502894"/>
    <w:rsid w:val="005174E7"/>
    <w:rsid w:val="00526B36"/>
    <w:rsid w:val="005462E6"/>
    <w:rsid w:val="00555AE5"/>
    <w:rsid w:val="00566CD7"/>
    <w:rsid w:val="0057379E"/>
    <w:rsid w:val="0057465E"/>
    <w:rsid w:val="005811F7"/>
    <w:rsid w:val="00591310"/>
    <w:rsid w:val="00596D3E"/>
    <w:rsid w:val="005A233B"/>
    <w:rsid w:val="005A40E9"/>
    <w:rsid w:val="005A5078"/>
    <w:rsid w:val="005A548B"/>
    <w:rsid w:val="005A5DB9"/>
    <w:rsid w:val="005B01DA"/>
    <w:rsid w:val="005B170F"/>
    <w:rsid w:val="005C4102"/>
    <w:rsid w:val="005D3878"/>
    <w:rsid w:val="005E1CF8"/>
    <w:rsid w:val="005E67DF"/>
    <w:rsid w:val="005F10B6"/>
    <w:rsid w:val="00601880"/>
    <w:rsid w:val="00603294"/>
    <w:rsid w:val="006061C1"/>
    <w:rsid w:val="00607145"/>
    <w:rsid w:val="0062077E"/>
    <w:rsid w:val="006207D3"/>
    <w:rsid w:val="006266E4"/>
    <w:rsid w:val="00627BAD"/>
    <w:rsid w:val="00631E9E"/>
    <w:rsid w:val="00637072"/>
    <w:rsid w:val="006444E8"/>
    <w:rsid w:val="00644C9A"/>
    <w:rsid w:val="00650EED"/>
    <w:rsid w:val="00651295"/>
    <w:rsid w:val="00654E0E"/>
    <w:rsid w:val="006575AB"/>
    <w:rsid w:val="00673928"/>
    <w:rsid w:val="006748F3"/>
    <w:rsid w:val="0067567D"/>
    <w:rsid w:val="00677271"/>
    <w:rsid w:val="00696952"/>
    <w:rsid w:val="006A2EED"/>
    <w:rsid w:val="006A3E35"/>
    <w:rsid w:val="006A5B46"/>
    <w:rsid w:val="006A731D"/>
    <w:rsid w:val="006C21A1"/>
    <w:rsid w:val="006C2BEB"/>
    <w:rsid w:val="006E1865"/>
    <w:rsid w:val="006E6B30"/>
    <w:rsid w:val="006F5864"/>
    <w:rsid w:val="007025B6"/>
    <w:rsid w:val="00704EA9"/>
    <w:rsid w:val="00710C46"/>
    <w:rsid w:val="007123C2"/>
    <w:rsid w:val="00717675"/>
    <w:rsid w:val="007278A1"/>
    <w:rsid w:val="00733312"/>
    <w:rsid w:val="00733ACC"/>
    <w:rsid w:val="007359EC"/>
    <w:rsid w:val="00736806"/>
    <w:rsid w:val="007378A5"/>
    <w:rsid w:val="00737F34"/>
    <w:rsid w:val="00741C63"/>
    <w:rsid w:val="007438A9"/>
    <w:rsid w:val="0075058D"/>
    <w:rsid w:val="00774169"/>
    <w:rsid w:val="00782202"/>
    <w:rsid w:val="0078615C"/>
    <w:rsid w:val="007864DB"/>
    <w:rsid w:val="00790738"/>
    <w:rsid w:val="007957C6"/>
    <w:rsid w:val="007A16D1"/>
    <w:rsid w:val="007A1D78"/>
    <w:rsid w:val="007A4FF8"/>
    <w:rsid w:val="007A5C3B"/>
    <w:rsid w:val="007B047F"/>
    <w:rsid w:val="007B48E2"/>
    <w:rsid w:val="007B7F1B"/>
    <w:rsid w:val="007C0164"/>
    <w:rsid w:val="007D218B"/>
    <w:rsid w:val="007E0EA1"/>
    <w:rsid w:val="007E1952"/>
    <w:rsid w:val="007E5533"/>
    <w:rsid w:val="007F386D"/>
    <w:rsid w:val="007F79FE"/>
    <w:rsid w:val="00804838"/>
    <w:rsid w:val="008116BB"/>
    <w:rsid w:val="008158F9"/>
    <w:rsid w:val="00825A59"/>
    <w:rsid w:val="00830CDE"/>
    <w:rsid w:val="008341A5"/>
    <w:rsid w:val="00844D5D"/>
    <w:rsid w:val="008458FB"/>
    <w:rsid w:val="00846351"/>
    <w:rsid w:val="00866BAC"/>
    <w:rsid w:val="008756D0"/>
    <w:rsid w:val="00877155"/>
    <w:rsid w:val="0088009D"/>
    <w:rsid w:val="008805E1"/>
    <w:rsid w:val="00883DCE"/>
    <w:rsid w:val="00885069"/>
    <w:rsid w:val="008861C2"/>
    <w:rsid w:val="008A0141"/>
    <w:rsid w:val="008A171E"/>
    <w:rsid w:val="008A24C5"/>
    <w:rsid w:val="008C0D55"/>
    <w:rsid w:val="008D3E1D"/>
    <w:rsid w:val="008D5B39"/>
    <w:rsid w:val="008D5FC7"/>
    <w:rsid w:val="008E7191"/>
    <w:rsid w:val="008E7328"/>
    <w:rsid w:val="008F27B1"/>
    <w:rsid w:val="008F35C1"/>
    <w:rsid w:val="008F5C65"/>
    <w:rsid w:val="00901E7C"/>
    <w:rsid w:val="009023B8"/>
    <w:rsid w:val="009055EC"/>
    <w:rsid w:val="00916379"/>
    <w:rsid w:val="00930035"/>
    <w:rsid w:val="009309BE"/>
    <w:rsid w:val="00934ED8"/>
    <w:rsid w:val="0094039E"/>
    <w:rsid w:val="00941004"/>
    <w:rsid w:val="00943A13"/>
    <w:rsid w:val="0095672D"/>
    <w:rsid w:val="00964E95"/>
    <w:rsid w:val="00967E2A"/>
    <w:rsid w:val="00973F1F"/>
    <w:rsid w:val="00977A74"/>
    <w:rsid w:val="00981BC3"/>
    <w:rsid w:val="009857BB"/>
    <w:rsid w:val="00986AF6"/>
    <w:rsid w:val="009922CF"/>
    <w:rsid w:val="009A1355"/>
    <w:rsid w:val="009A3E3D"/>
    <w:rsid w:val="009B006E"/>
    <w:rsid w:val="009B7C9F"/>
    <w:rsid w:val="009B7E49"/>
    <w:rsid w:val="009C1ADC"/>
    <w:rsid w:val="009D250D"/>
    <w:rsid w:val="009D3D6E"/>
    <w:rsid w:val="009E3B4F"/>
    <w:rsid w:val="009E43ED"/>
    <w:rsid w:val="009E7164"/>
    <w:rsid w:val="009E71B7"/>
    <w:rsid w:val="009F270D"/>
    <w:rsid w:val="009F50DF"/>
    <w:rsid w:val="00A023DD"/>
    <w:rsid w:val="00A0588C"/>
    <w:rsid w:val="00A10F7D"/>
    <w:rsid w:val="00A14BBB"/>
    <w:rsid w:val="00A230F6"/>
    <w:rsid w:val="00A27473"/>
    <w:rsid w:val="00A33EB1"/>
    <w:rsid w:val="00A36834"/>
    <w:rsid w:val="00A41C4D"/>
    <w:rsid w:val="00A43253"/>
    <w:rsid w:val="00A51501"/>
    <w:rsid w:val="00A548F6"/>
    <w:rsid w:val="00A55B9E"/>
    <w:rsid w:val="00A56EF1"/>
    <w:rsid w:val="00A666CF"/>
    <w:rsid w:val="00A718F5"/>
    <w:rsid w:val="00A7592F"/>
    <w:rsid w:val="00A94A51"/>
    <w:rsid w:val="00AA08D7"/>
    <w:rsid w:val="00AA10C6"/>
    <w:rsid w:val="00AA4B9C"/>
    <w:rsid w:val="00AB5E5B"/>
    <w:rsid w:val="00AB777F"/>
    <w:rsid w:val="00AC13F6"/>
    <w:rsid w:val="00AD3B1E"/>
    <w:rsid w:val="00AE0421"/>
    <w:rsid w:val="00AE48BD"/>
    <w:rsid w:val="00AE57B1"/>
    <w:rsid w:val="00AE6221"/>
    <w:rsid w:val="00B00F0F"/>
    <w:rsid w:val="00B142F5"/>
    <w:rsid w:val="00B2392C"/>
    <w:rsid w:val="00B2486F"/>
    <w:rsid w:val="00B25DB1"/>
    <w:rsid w:val="00B30BCE"/>
    <w:rsid w:val="00B36EC3"/>
    <w:rsid w:val="00B405F7"/>
    <w:rsid w:val="00B40F4F"/>
    <w:rsid w:val="00B4234F"/>
    <w:rsid w:val="00B42EAC"/>
    <w:rsid w:val="00B47CD5"/>
    <w:rsid w:val="00B516DB"/>
    <w:rsid w:val="00B54E04"/>
    <w:rsid w:val="00B575F5"/>
    <w:rsid w:val="00B634DC"/>
    <w:rsid w:val="00B658B5"/>
    <w:rsid w:val="00B65FE0"/>
    <w:rsid w:val="00B70704"/>
    <w:rsid w:val="00B724C5"/>
    <w:rsid w:val="00B74F76"/>
    <w:rsid w:val="00B85168"/>
    <w:rsid w:val="00B90982"/>
    <w:rsid w:val="00B96A62"/>
    <w:rsid w:val="00B97339"/>
    <w:rsid w:val="00BB1277"/>
    <w:rsid w:val="00BC4611"/>
    <w:rsid w:val="00BD2C3C"/>
    <w:rsid w:val="00BD78D2"/>
    <w:rsid w:val="00BE3217"/>
    <w:rsid w:val="00BE5094"/>
    <w:rsid w:val="00BF2B8C"/>
    <w:rsid w:val="00BF4DB7"/>
    <w:rsid w:val="00BF5B9A"/>
    <w:rsid w:val="00C04B7C"/>
    <w:rsid w:val="00C06937"/>
    <w:rsid w:val="00C231DE"/>
    <w:rsid w:val="00C26F62"/>
    <w:rsid w:val="00C30413"/>
    <w:rsid w:val="00C40443"/>
    <w:rsid w:val="00C41CB9"/>
    <w:rsid w:val="00C44199"/>
    <w:rsid w:val="00C45E27"/>
    <w:rsid w:val="00C47233"/>
    <w:rsid w:val="00C5176B"/>
    <w:rsid w:val="00C80046"/>
    <w:rsid w:val="00C8284D"/>
    <w:rsid w:val="00C84165"/>
    <w:rsid w:val="00C9011C"/>
    <w:rsid w:val="00CA1719"/>
    <w:rsid w:val="00CB3271"/>
    <w:rsid w:val="00CB53B8"/>
    <w:rsid w:val="00CC06DF"/>
    <w:rsid w:val="00CC394C"/>
    <w:rsid w:val="00CC4DA4"/>
    <w:rsid w:val="00CC5CC7"/>
    <w:rsid w:val="00CC755E"/>
    <w:rsid w:val="00CC75C6"/>
    <w:rsid w:val="00CD0CFA"/>
    <w:rsid w:val="00CD24ED"/>
    <w:rsid w:val="00CF4ED4"/>
    <w:rsid w:val="00D0055C"/>
    <w:rsid w:val="00D04B95"/>
    <w:rsid w:val="00D071EC"/>
    <w:rsid w:val="00D11860"/>
    <w:rsid w:val="00D13312"/>
    <w:rsid w:val="00D21513"/>
    <w:rsid w:val="00D30443"/>
    <w:rsid w:val="00D34D78"/>
    <w:rsid w:val="00D4303A"/>
    <w:rsid w:val="00D54788"/>
    <w:rsid w:val="00D746B6"/>
    <w:rsid w:val="00D82B1A"/>
    <w:rsid w:val="00D8409F"/>
    <w:rsid w:val="00D867A7"/>
    <w:rsid w:val="00D8798A"/>
    <w:rsid w:val="00D90911"/>
    <w:rsid w:val="00DA120F"/>
    <w:rsid w:val="00DB2C8B"/>
    <w:rsid w:val="00DB64C8"/>
    <w:rsid w:val="00DC183E"/>
    <w:rsid w:val="00DC27BB"/>
    <w:rsid w:val="00DC3FEB"/>
    <w:rsid w:val="00DC449E"/>
    <w:rsid w:val="00DC5DBE"/>
    <w:rsid w:val="00DD1EA1"/>
    <w:rsid w:val="00DD60B4"/>
    <w:rsid w:val="00DE0340"/>
    <w:rsid w:val="00DE0DAE"/>
    <w:rsid w:val="00DE1420"/>
    <w:rsid w:val="00DE4D8F"/>
    <w:rsid w:val="00DE652D"/>
    <w:rsid w:val="00DF38BA"/>
    <w:rsid w:val="00DF563F"/>
    <w:rsid w:val="00DF6D87"/>
    <w:rsid w:val="00DF7E4E"/>
    <w:rsid w:val="00E00E12"/>
    <w:rsid w:val="00E014FD"/>
    <w:rsid w:val="00E02FB0"/>
    <w:rsid w:val="00E06111"/>
    <w:rsid w:val="00E10662"/>
    <w:rsid w:val="00E11BC7"/>
    <w:rsid w:val="00E12E32"/>
    <w:rsid w:val="00E17A1D"/>
    <w:rsid w:val="00E21F82"/>
    <w:rsid w:val="00E314D6"/>
    <w:rsid w:val="00E51260"/>
    <w:rsid w:val="00E51A30"/>
    <w:rsid w:val="00E758C4"/>
    <w:rsid w:val="00E868D2"/>
    <w:rsid w:val="00E9590B"/>
    <w:rsid w:val="00EA2B6B"/>
    <w:rsid w:val="00EB25A7"/>
    <w:rsid w:val="00EC4247"/>
    <w:rsid w:val="00EC67E7"/>
    <w:rsid w:val="00EC6ADB"/>
    <w:rsid w:val="00ED1ACB"/>
    <w:rsid w:val="00ED4FDA"/>
    <w:rsid w:val="00ED673E"/>
    <w:rsid w:val="00EE0060"/>
    <w:rsid w:val="00EE032F"/>
    <w:rsid w:val="00EE2991"/>
    <w:rsid w:val="00EE425A"/>
    <w:rsid w:val="00EE73B3"/>
    <w:rsid w:val="00EF0A72"/>
    <w:rsid w:val="00F000FB"/>
    <w:rsid w:val="00F04398"/>
    <w:rsid w:val="00F05D7D"/>
    <w:rsid w:val="00F05FD6"/>
    <w:rsid w:val="00F113D3"/>
    <w:rsid w:val="00F14C85"/>
    <w:rsid w:val="00F15C12"/>
    <w:rsid w:val="00F17E73"/>
    <w:rsid w:val="00F23A22"/>
    <w:rsid w:val="00F550FD"/>
    <w:rsid w:val="00F70E88"/>
    <w:rsid w:val="00F740F6"/>
    <w:rsid w:val="00F76F41"/>
    <w:rsid w:val="00F8161B"/>
    <w:rsid w:val="00F82B19"/>
    <w:rsid w:val="00F82C5E"/>
    <w:rsid w:val="00F909E8"/>
    <w:rsid w:val="00F91393"/>
    <w:rsid w:val="00FA2B8B"/>
    <w:rsid w:val="00FB48D9"/>
    <w:rsid w:val="00FB6263"/>
    <w:rsid w:val="00FD0FB4"/>
    <w:rsid w:val="00FD415D"/>
    <w:rsid w:val="00FD5E3F"/>
    <w:rsid w:val="00FD6218"/>
    <w:rsid w:val="00FE45EE"/>
    <w:rsid w:val="00FF173F"/>
    <w:rsid w:val="00FF345B"/>
    <w:rsid w:val="742F3C2B"/>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5.85pt,.7pt,5.85pt,.7pt"/>
    </o:shapedefaults>
    <o:shapelayout v:ext="edit">
      <o:idmap v:ext="edit" data="1"/>
    </o:shapelayout>
  </w:shapeDefaults>
  <w:decimalSymbol w:val="."/>
  <w:listSeparator w:val=","/>
  <w14:docId w14:val="192737CD"/>
  <w15:chartTrackingRefBased/>
  <w15:docId w15:val="{172315E7-EF9C-4CC0-B881-DE314EFA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SG"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link w:val="PlainTextChar"/>
    <w:rPr>
      <w:rFonts w:ascii="Courier New" w:hAnsi="Courier New"/>
      <w:sz w:val="20"/>
      <w:lang w:val="hr-HR" w:eastAsia="de-DE"/>
    </w:rPr>
  </w:style>
  <w:style w:type="character" w:styleId="Strong">
    <w:name w:val="Strong"/>
    <w:uiPriority w:val="22"/>
    <w:qFormat/>
    <w:rPr>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customStyle="1" w:styleId="emailstyle17">
    <w:name w:val="emailstyle17"/>
    <w:semiHidden/>
    <w:rPr>
      <w:rFonts w:ascii="Arial" w:hAnsi="Arial" w:cs="Arial" w:hint="default"/>
      <w:color w:val="auto"/>
      <w:sz w:val="20"/>
      <w:szCs w:val="20"/>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HeaderChar">
    <w:name w:val="Header Char"/>
    <w:link w:val="Header"/>
    <w:uiPriority w:val="99"/>
    <w:rsid w:val="007378A5"/>
    <w:rPr>
      <w:sz w:val="24"/>
      <w:szCs w:val="24"/>
      <w:lang w:eastAsia="en-US"/>
    </w:rPr>
  </w:style>
  <w:style w:type="paragraph" w:styleId="BalloonText">
    <w:name w:val="Balloon Text"/>
    <w:basedOn w:val="Normal"/>
    <w:link w:val="BalloonTextChar"/>
    <w:rsid w:val="007378A5"/>
    <w:rPr>
      <w:rFonts w:ascii="Arial" w:eastAsia="MS Gothic" w:hAnsi="Arial"/>
      <w:sz w:val="18"/>
      <w:szCs w:val="18"/>
    </w:rPr>
  </w:style>
  <w:style w:type="character" w:customStyle="1" w:styleId="BalloonTextChar">
    <w:name w:val="Balloon Text Char"/>
    <w:link w:val="BalloonText"/>
    <w:rsid w:val="007378A5"/>
    <w:rPr>
      <w:rFonts w:ascii="Arial" w:eastAsia="MS Gothic" w:hAnsi="Arial" w:cs="Times New Roman"/>
      <w:sz w:val="18"/>
      <w:szCs w:val="18"/>
      <w:lang w:eastAsia="en-US"/>
    </w:rPr>
  </w:style>
  <w:style w:type="paragraph" w:styleId="NormalWeb">
    <w:name w:val="Normal (Web)"/>
    <w:basedOn w:val="Normal"/>
    <w:uiPriority w:val="99"/>
    <w:unhideWhenUsed/>
    <w:rsid w:val="002539A4"/>
    <w:pPr>
      <w:spacing w:before="100" w:beforeAutospacing="1" w:after="100" w:afterAutospacing="1"/>
    </w:pPr>
    <w:rPr>
      <w:rFonts w:eastAsia="Times New Roman"/>
      <w:lang w:val="en-SG" w:eastAsia="en-SG"/>
    </w:rPr>
  </w:style>
  <w:style w:type="character" w:styleId="UnresolvedMention">
    <w:name w:val="Unresolved Mention"/>
    <w:basedOn w:val="DefaultParagraphFont"/>
    <w:uiPriority w:val="99"/>
    <w:semiHidden/>
    <w:unhideWhenUsed/>
    <w:rsid w:val="0062077E"/>
    <w:rPr>
      <w:color w:val="605E5C"/>
      <w:shd w:val="clear" w:color="auto" w:fill="E1DFDD"/>
    </w:rPr>
  </w:style>
  <w:style w:type="character" w:customStyle="1" w:styleId="PlainTextChar">
    <w:name w:val="Plain Text Char"/>
    <w:basedOn w:val="DefaultParagraphFont"/>
    <w:link w:val="PlainText"/>
    <w:rsid w:val="001554FF"/>
    <w:rPr>
      <w:rFonts w:ascii="Courier New" w:hAnsi="Courier New"/>
      <w:szCs w:val="24"/>
      <w:lang w:val="hr-HR" w:eastAsia="de-DE"/>
    </w:rPr>
  </w:style>
  <w:style w:type="character" w:styleId="CommentReference">
    <w:name w:val="annotation reference"/>
    <w:basedOn w:val="DefaultParagraphFont"/>
    <w:rsid w:val="008458FB"/>
    <w:rPr>
      <w:sz w:val="16"/>
      <w:szCs w:val="16"/>
    </w:rPr>
  </w:style>
  <w:style w:type="paragraph" w:styleId="CommentText">
    <w:name w:val="annotation text"/>
    <w:basedOn w:val="Normal"/>
    <w:link w:val="CommentTextChar"/>
    <w:rsid w:val="008458FB"/>
    <w:rPr>
      <w:sz w:val="20"/>
      <w:szCs w:val="20"/>
    </w:rPr>
  </w:style>
  <w:style w:type="character" w:customStyle="1" w:styleId="CommentTextChar">
    <w:name w:val="Comment Text Char"/>
    <w:basedOn w:val="DefaultParagraphFont"/>
    <w:link w:val="CommentText"/>
    <w:rsid w:val="008458FB"/>
    <w:rPr>
      <w:lang w:val="en-US" w:eastAsia="en-US"/>
    </w:rPr>
  </w:style>
  <w:style w:type="paragraph" w:styleId="CommentSubject">
    <w:name w:val="annotation subject"/>
    <w:basedOn w:val="CommentText"/>
    <w:next w:val="CommentText"/>
    <w:link w:val="CommentSubjectChar"/>
    <w:semiHidden/>
    <w:unhideWhenUsed/>
    <w:rsid w:val="008458FB"/>
    <w:rPr>
      <w:b/>
      <w:bCs/>
    </w:rPr>
  </w:style>
  <w:style w:type="character" w:customStyle="1" w:styleId="CommentSubjectChar">
    <w:name w:val="Comment Subject Char"/>
    <w:basedOn w:val="CommentTextChar"/>
    <w:link w:val="CommentSubject"/>
    <w:semiHidden/>
    <w:rsid w:val="008458FB"/>
    <w:rPr>
      <w:b/>
      <w:bCs/>
      <w:lang w:val="en-US" w:eastAsia="en-US"/>
    </w:rPr>
  </w:style>
  <w:style w:type="character" w:customStyle="1" w:styleId="ui-provider">
    <w:name w:val="ui-provider"/>
    <w:basedOn w:val="DefaultParagraphFont"/>
    <w:rsid w:val="00D21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876896">
      <w:bodyDiv w:val="1"/>
      <w:marLeft w:val="0"/>
      <w:marRight w:val="0"/>
      <w:marTop w:val="0"/>
      <w:marBottom w:val="0"/>
      <w:divBdr>
        <w:top w:val="none" w:sz="0" w:space="0" w:color="auto"/>
        <w:left w:val="none" w:sz="0" w:space="0" w:color="auto"/>
        <w:bottom w:val="none" w:sz="0" w:space="0" w:color="auto"/>
        <w:right w:val="none" w:sz="0" w:space="0" w:color="auto"/>
      </w:divBdr>
    </w:div>
    <w:div w:id="354968333">
      <w:bodyDiv w:val="1"/>
      <w:marLeft w:val="0"/>
      <w:marRight w:val="0"/>
      <w:marTop w:val="0"/>
      <w:marBottom w:val="0"/>
      <w:divBdr>
        <w:top w:val="none" w:sz="0" w:space="0" w:color="auto"/>
        <w:left w:val="none" w:sz="0" w:space="0" w:color="auto"/>
        <w:bottom w:val="none" w:sz="0" w:space="0" w:color="auto"/>
        <w:right w:val="none" w:sz="0" w:space="0" w:color="auto"/>
      </w:divBdr>
    </w:div>
    <w:div w:id="428937577">
      <w:bodyDiv w:val="1"/>
      <w:marLeft w:val="0"/>
      <w:marRight w:val="0"/>
      <w:marTop w:val="0"/>
      <w:marBottom w:val="0"/>
      <w:divBdr>
        <w:top w:val="none" w:sz="0" w:space="0" w:color="auto"/>
        <w:left w:val="none" w:sz="0" w:space="0" w:color="auto"/>
        <w:bottom w:val="none" w:sz="0" w:space="0" w:color="auto"/>
        <w:right w:val="none" w:sz="0" w:space="0" w:color="auto"/>
      </w:divBdr>
    </w:div>
    <w:div w:id="508446987">
      <w:bodyDiv w:val="1"/>
      <w:marLeft w:val="0"/>
      <w:marRight w:val="0"/>
      <w:marTop w:val="0"/>
      <w:marBottom w:val="0"/>
      <w:divBdr>
        <w:top w:val="none" w:sz="0" w:space="0" w:color="auto"/>
        <w:left w:val="none" w:sz="0" w:space="0" w:color="auto"/>
        <w:bottom w:val="none" w:sz="0" w:space="0" w:color="auto"/>
        <w:right w:val="none" w:sz="0" w:space="0" w:color="auto"/>
      </w:divBdr>
    </w:div>
    <w:div w:id="696471326">
      <w:bodyDiv w:val="1"/>
      <w:marLeft w:val="0"/>
      <w:marRight w:val="0"/>
      <w:marTop w:val="0"/>
      <w:marBottom w:val="0"/>
      <w:divBdr>
        <w:top w:val="none" w:sz="0" w:space="0" w:color="auto"/>
        <w:left w:val="none" w:sz="0" w:space="0" w:color="auto"/>
        <w:bottom w:val="none" w:sz="0" w:space="0" w:color="auto"/>
        <w:right w:val="none" w:sz="0" w:space="0" w:color="auto"/>
      </w:divBdr>
    </w:div>
    <w:div w:id="1114472400">
      <w:bodyDiv w:val="1"/>
      <w:marLeft w:val="0"/>
      <w:marRight w:val="0"/>
      <w:marTop w:val="0"/>
      <w:marBottom w:val="0"/>
      <w:divBdr>
        <w:top w:val="none" w:sz="0" w:space="0" w:color="auto"/>
        <w:left w:val="none" w:sz="0" w:space="0" w:color="auto"/>
        <w:bottom w:val="none" w:sz="0" w:space="0" w:color="auto"/>
        <w:right w:val="none" w:sz="0" w:space="0" w:color="auto"/>
      </w:divBdr>
    </w:div>
    <w:div w:id="1134954716">
      <w:bodyDiv w:val="1"/>
      <w:marLeft w:val="0"/>
      <w:marRight w:val="0"/>
      <w:marTop w:val="0"/>
      <w:marBottom w:val="0"/>
      <w:divBdr>
        <w:top w:val="none" w:sz="0" w:space="0" w:color="auto"/>
        <w:left w:val="none" w:sz="0" w:space="0" w:color="auto"/>
        <w:bottom w:val="none" w:sz="0" w:space="0" w:color="auto"/>
        <w:right w:val="none" w:sz="0" w:space="0" w:color="auto"/>
      </w:divBdr>
    </w:div>
    <w:div w:id="1283684418">
      <w:bodyDiv w:val="1"/>
      <w:marLeft w:val="0"/>
      <w:marRight w:val="0"/>
      <w:marTop w:val="0"/>
      <w:marBottom w:val="0"/>
      <w:divBdr>
        <w:top w:val="none" w:sz="0" w:space="0" w:color="auto"/>
        <w:left w:val="none" w:sz="0" w:space="0" w:color="auto"/>
        <w:bottom w:val="none" w:sz="0" w:space="0" w:color="auto"/>
        <w:right w:val="none" w:sz="0" w:space="0" w:color="auto"/>
      </w:divBdr>
    </w:div>
    <w:div w:id="1510677713">
      <w:bodyDiv w:val="1"/>
      <w:marLeft w:val="0"/>
      <w:marRight w:val="0"/>
      <w:marTop w:val="0"/>
      <w:marBottom w:val="0"/>
      <w:divBdr>
        <w:top w:val="none" w:sz="0" w:space="0" w:color="auto"/>
        <w:left w:val="none" w:sz="0" w:space="0" w:color="auto"/>
        <w:bottom w:val="none" w:sz="0" w:space="0" w:color="auto"/>
        <w:right w:val="none" w:sz="0" w:space="0" w:color="auto"/>
      </w:divBdr>
    </w:div>
    <w:div w:id="1580482397">
      <w:bodyDiv w:val="1"/>
      <w:marLeft w:val="0"/>
      <w:marRight w:val="0"/>
      <w:marTop w:val="0"/>
      <w:marBottom w:val="0"/>
      <w:divBdr>
        <w:top w:val="none" w:sz="0" w:space="0" w:color="auto"/>
        <w:left w:val="none" w:sz="0" w:space="0" w:color="auto"/>
        <w:bottom w:val="none" w:sz="0" w:space="0" w:color="auto"/>
        <w:right w:val="none" w:sz="0" w:space="0" w:color="auto"/>
      </w:divBdr>
    </w:div>
    <w:div w:id="1683127571">
      <w:bodyDiv w:val="1"/>
      <w:marLeft w:val="0"/>
      <w:marRight w:val="0"/>
      <w:marTop w:val="0"/>
      <w:marBottom w:val="0"/>
      <w:divBdr>
        <w:top w:val="none" w:sz="0" w:space="0" w:color="auto"/>
        <w:left w:val="none" w:sz="0" w:space="0" w:color="auto"/>
        <w:bottom w:val="none" w:sz="0" w:space="0" w:color="auto"/>
        <w:right w:val="none" w:sz="0" w:space="0" w:color="auto"/>
      </w:divBdr>
    </w:div>
    <w:div w:id="1695879947">
      <w:bodyDiv w:val="1"/>
      <w:marLeft w:val="0"/>
      <w:marRight w:val="0"/>
      <w:marTop w:val="0"/>
      <w:marBottom w:val="0"/>
      <w:divBdr>
        <w:top w:val="none" w:sz="0" w:space="0" w:color="auto"/>
        <w:left w:val="none" w:sz="0" w:space="0" w:color="auto"/>
        <w:bottom w:val="none" w:sz="0" w:space="0" w:color="auto"/>
        <w:right w:val="none" w:sz="0" w:space="0" w:color="auto"/>
      </w:divBdr>
    </w:div>
    <w:div w:id="1714111668">
      <w:bodyDiv w:val="1"/>
      <w:marLeft w:val="0"/>
      <w:marRight w:val="0"/>
      <w:marTop w:val="0"/>
      <w:marBottom w:val="0"/>
      <w:divBdr>
        <w:top w:val="none" w:sz="0" w:space="0" w:color="auto"/>
        <w:left w:val="none" w:sz="0" w:space="0" w:color="auto"/>
        <w:bottom w:val="none" w:sz="0" w:space="0" w:color="auto"/>
        <w:right w:val="none" w:sz="0" w:space="0" w:color="auto"/>
      </w:divBdr>
    </w:div>
    <w:div w:id="189538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a_godinho_miguel@tp.edu.sg" TargetMode="External"/><Relationship Id="rId13" Type="http://schemas.openxmlformats.org/officeDocument/2006/relationships/footer" Target="footer2.xml"/><Relationship Id="rId18" Type="http://schemas.openxmlformats.org/officeDocument/2006/relationships/hyperlink" Target="https://www.researchgate.net/publication/5248069_Design_Thinking" TargetMode="External"/><Relationship Id="rId3" Type="http://schemas.openxmlformats.org/officeDocument/2006/relationships/styles" Target="styles.xml"/><Relationship Id="rId21" Type="http://schemas.openxmlformats.org/officeDocument/2006/relationships/hyperlink" Target="https://doi.org/10.1186/s40594-016-0046-z"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doi.org/10.1371/journal.pone.021579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doi.org/10.5465/ambpp.2014.10628abstract" TargetMode="External"/><Relationship Id="rId10" Type="http://schemas.openxmlformats.org/officeDocument/2006/relationships/header" Target="header1.xml"/><Relationship Id="rId19" Type="http://schemas.openxmlformats.org/officeDocument/2006/relationships/hyperlink" Target="https://doi.org/10.1016/j.sheji.2019.04.001" TargetMode="External"/><Relationship Id="rId4" Type="http://schemas.openxmlformats.org/officeDocument/2006/relationships/settings" Target="settings.xml"/><Relationship Id="rId9" Type="http://schemas.openxmlformats.org/officeDocument/2006/relationships/hyperlink" Target="mailto:shruti_pilare@tp.edu.sg" TargetMode="External"/><Relationship Id="rId14" Type="http://schemas.openxmlformats.org/officeDocument/2006/relationships/header" Target="header3.xml"/><Relationship Id="rId22" Type="http://schemas.openxmlformats.org/officeDocument/2006/relationships/hyperlink" Target="https://doi.org/10.1145/31943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1B604-B9ED-4E5C-B683-075BCF025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3971</Words>
  <Characters>25775</Characters>
  <Application>Microsoft Office Word</Application>
  <DocSecurity>0</DocSecurity>
  <Lines>214</Lines>
  <Paragraphs>59</Paragraphs>
  <ScaleCrop>false</ScaleCrop>
  <HeadingPairs>
    <vt:vector size="2" baseType="variant">
      <vt:variant>
        <vt:lpstr>Title</vt:lpstr>
      </vt:variant>
      <vt:variant>
        <vt:i4>1</vt:i4>
      </vt:variant>
    </vt:vector>
  </HeadingPairs>
  <TitlesOfParts>
    <vt:vector size="1" baseType="lpstr">
      <vt:lpstr>INSTRUCTIONS FOR PREPARING PAPERS FOR IFMBE PROCEEDINGS SERIES (ICBME 2005)</vt:lpstr>
    </vt:vector>
  </TitlesOfParts>
  <Company>IMS</Company>
  <LinksUpToDate>false</LinksUpToDate>
  <CharactersWithSpaces>29687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PAPERS FOR IFMBE PROCEEDINGS SERIES (ICBME 2005)</dc:title>
  <dc:subject/>
  <dc:creator>Lee Fong</dc:creator>
  <cp:keywords/>
  <cp:lastModifiedBy>Shruti PILARE (TP)</cp:lastModifiedBy>
  <cp:revision>3</cp:revision>
  <cp:lastPrinted>2015-12-02T07:41:00Z</cp:lastPrinted>
  <dcterms:created xsi:type="dcterms:W3CDTF">2023-05-28T14:49:00Z</dcterms:created>
  <dcterms:modified xsi:type="dcterms:W3CDTF">2023-05-28T14:51:00Z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28611d-fe69-484f-b56b-0db8a0d79612_Enabled">
    <vt:lpwstr>true</vt:lpwstr>
  </property>
  <property fmtid="{D5CDD505-2E9C-101B-9397-08002B2CF9AE}" pid="3" name="MSIP_Label_d528611d-fe69-484f-b56b-0db8a0d79612_SetDate">
    <vt:lpwstr>2023-05-24T00:46:46Z</vt:lpwstr>
  </property>
  <property fmtid="{D5CDD505-2E9C-101B-9397-08002B2CF9AE}" pid="4" name="MSIP_Label_d528611d-fe69-484f-b56b-0db8a0d79612_Method">
    <vt:lpwstr>Privileged</vt:lpwstr>
  </property>
  <property fmtid="{D5CDD505-2E9C-101B-9397-08002B2CF9AE}" pid="5" name="MSIP_Label_d528611d-fe69-484f-b56b-0db8a0d79612_Name">
    <vt:lpwstr>Public</vt:lpwstr>
  </property>
  <property fmtid="{D5CDD505-2E9C-101B-9397-08002B2CF9AE}" pid="6" name="MSIP_Label_d528611d-fe69-484f-b56b-0db8a0d79612_SiteId">
    <vt:lpwstr>25a99bf0-8e72-472a-ae50-adfbdf0df6f1</vt:lpwstr>
  </property>
  <property fmtid="{D5CDD505-2E9C-101B-9397-08002B2CF9AE}" pid="7" name="MSIP_Label_d528611d-fe69-484f-b56b-0db8a0d79612_ActionId">
    <vt:lpwstr>4861c0ce-130f-45bc-a967-9d2706e91e82</vt:lpwstr>
  </property>
  <property fmtid="{D5CDD505-2E9C-101B-9397-08002B2CF9AE}" pid="8" name="MSIP_Label_d528611d-fe69-484f-b56b-0db8a0d79612_ContentBits">
    <vt:lpwstr>0</vt:lpwstr>
  </property>
</Properties>
</file>